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33D86" w14:textId="77777777" w:rsidR="00CA5D7D" w:rsidRDefault="005224CF" w:rsidP="00544B90">
      <w:pPr>
        <w:autoSpaceDE w:val="0"/>
        <w:autoSpaceDN w:val="0"/>
        <w:adjustRightInd w:val="0"/>
        <w:spacing w:before="0" w:line="288" w:lineRule="auto"/>
        <w:rPr>
          <w:rFonts w:ascii="Arial" w:hAnsi="Arial" w:cs="Arial"/>
          <w:color w:val="000000" w:themeColor="text1"/>
          <w:sz w:val="40"/>
        </w:rPr>
      </w:pPr>
      <w:bookmarkStart w:id="0" w:name="_Hlk150443378"/>
      <w:r>
        <w:rPr>
          <w:rFonts w:ascii="Arial" w:hAnsi="Arial" w:cs="Arial"/>
          <w:b/>
          <w:color w:val="002554"/>
        </w:rPr>
        <w:t>September 2026</w:t>
      </w:r>
      <w:r w:rsidR="00B23675">
        <w:rPr>
          <w:rFonts w:ascii="Arial" w:hAnsi="Arial" w:cs="Arial"/>
          <w:color w:val="000000" w:themeColor="text1"/>
          <w:sz w:val="40"/>
        </w:rPr>
        <w:br/>
      </w:r>
      <w:r w:rsidR="00CA5D7D">
        <w:rPr>
          <w:rFonts w:ascii="Arial" w:hAnsi="Arial" w:cs="Arial"/>
          <w:color w:val="000000" w:themeColor="text1"/>
          <w:sz w:val="40"/>
        </w:rPr>
        <w:t xml:space="preserve">FX </w:t>
      </w:r>
      <w:r w:rsidR="00CA5D7D" w:rsidRPr="00BF6518">
        <w:rPr>
          <w:rFonts w:ascii="Arial" w:hAnsi="Arial" w:cs="Arial"/>
          <w:color w:val="000000" w:themeColor="text1"/>
          <w:sz w:val="40"/>
        </w:rPr>
        <w:t>Market Structure Monthly</w:t>
      </w:r>
      <w:r w:rsidR="00CA5D7D">
        <w:rPr>
          <w:rFonts w:ascii="Arial" w:hAnsi="Arial" w:cs="Arial"/>
          <w:color w:val="000000" w:themeColor="text1"/>
          <w:sz w:val="40"/>
        </w:rPr>
        <w:t xml:space="preserve"> </w:t>
      </w:r>
    </w:p>
    <w:p w14:paraId="6C7BEFE1" w14:textId="77777777" w:rsidR="00D73D76" w:rsidRPr="007A5032" w:rsidRDefault="00D73D76" w:rsidP="00D73D76">
      <w:pPr>
        <w:spacing w:before="0"/>
        <w:rPr>
          <w:rStyle w:val="BodyTextChar"/>
          <w:rFonts w:cs="Arial"/>
          <w:bCs w:val="0"/>
          <w:caps w:val="0"/>
          <w:color w:val="000000" w:themeColor="text1"/>
          <w:sz w:val="14"/>
          <w:szCs w:val="14"/>
        </w:rPr>
      </w:pPr>
    </w:p>
    <w:p w14:paraId="69AE7F66" w14:textId="77777777" w:rsidR="007F6981" w:rsidRPr="00A342D7" w:rsidRDefault="00CA5D7D" w:rsidP="00A342D7">
      <w:pPr>
        <w:spacing w:before="0" w:after="80"/>
        <w:rPr>
          <w:rFonts w:ascii="Arial" w:hAnsi="Arial"/>
          <w:b/>
          <w:bCs/>
          <w:caps/>
          <w:sz w:val="22"/>
          <w:szCs w:val="24"/>
        </w:rPr>
      </w:pPr>
      <w:r w:rsidRPr="00D73D76">
        <w:rPr>
          <w:rStyle w:val="BodyTextChar"/>
          <w:sz w:val="22"/>
          <w:szCs w:val="24"/>
        </w:rPr>
        <w:t>CHANGES IN SPREAD AND VOLATILITY FOR MAJOR MARKET PAIRS</w:t>
      </w:r>
      <w:bookmarkStart w:id="1" w:name="_Hlk194506441"/>
    </w:p>
    <w:p w14:paraId="297FEA42" w14:textId="4B7634BE" w:rsidR="00B11F6F" w:rsidRDefault="004D0EA2" w:rsidP="00A54DA0">
      <w:pPr>
        <w:suppressAutoHyphens/>
        <w:spacing w:before="0" w:after="80"/>
        <w:jc w:val="both"/>
        <w:rPr>
          <w:rFonts w:asciiTheme="minorHAnsi" w:hAnsiTheme="minorHAnsi" w:cstheme="minorHAnsi"/>
          <w:sz w:val="22"/>
          <w:szCs w:val="22"/>
        </w:rPr>
      </w:pPr>
      <w:bookmarkStart w:id="2" w:name="_Hlk197101896"/>
      <w:bookmarkStart w:id="3" w:name="_Hlk205207587"/>
      <w:bookmarkEnd w:id="1"/>
      <w:r>
        <w:rPr>
          <w:rFonts w:asciiTheme="minorHAnsi" w:hAnsiTheme="minorHAnsi" w:cstheme="minorHAnsi"/>
          <w:sz w:val="22"/>
          <w:szCs w:val="22"/>
        </w:rPr>
        <w:t xml:space="preserve">September </w:t>
      </w:r>
      <w:r w:rsidR="00694916">
        <w:rPr>
          <w:rFonts w:asciiTheme="minorHAnsi" w:hAnsiTheme="minorHAnsi" w:cstheme="minorHAnsi"/>
          <w:sz w:val="22"/>
          <w:szCs w:val="22"/>
        </w:rPr>
        <w:t>saw a notable</w:t>
      </w:r>
      <w:r>
        <w:rPr>
          <w:rFonts w:asciiTheme="minorHAnsi" w:hAnsiTheme="minorHAnsi" w:cstheme="minorHAnsi"/>
          <w:sz w:val="22"/>
          <w:szCs w:val="22"/>
        </w:rPr>
        <w:t xml:space="preserve"> increase in both spread and volatility levels across the FX market,</w:t>
      </w:r>
      <w:r w:rsidR="00694916">
        <w:rPr>
          <w:rFonts w:asciiTheme="minorHAnsi" w:hAnsiTheme="minorHAnsi" w:cstheme="minorHAnsi"/>
          <w:sz w:val="22"/>
          <w:szCs w:val="22"/>
        </w:rPr>
        <w:t xml:space="preserve"> following a relatively quieter summer and the subsequent return of trading activity. While some increases in spread and volatility levels would be expected as liquidity and participation normalised following the summer holiday period,</w:t>
      </w:r>
      <w:r w:rsidR="007F12A3">
        <w:rPr>
          <w:rFonts w:asciiTheme="minorHAnsi" w:hAnsiTheme="minorHAnsi" w:cstheme="minorHAnsi"/>
          <w:sz w:val="22"/>
          <w:szCs w:val="22"/>
        </w:rPr>
        <w:t xml:space="preserve"> there was also an increase in market uncertainty and some significant central bank developments that occurred during the month of</w:t>
      </w:r>
      <w:r w:rsidR="00694916">
        <w:rPr>
          <w:rFonts w:asciiTheme="minorHAnsi" w:hAnsiTheme="minorHAnsi" w:cstheme="minorHAnsi"/>
          <w:sz w:val="22"/>
          <w:szCs w:val="22"/>
        </w:rPr>
        <w:t xml:space="preserve"> September</w:t>
      </w:r>
      <w:r w:rsidR="007F12A3">
        <w:rPr>
          <w:rFonts w:asciiTheme="minorHAnsi" w:hAnsiTheme="minorHAnsi" w:cstheme="minorHAnsi"/>
          <w:sz w:val="22"/>
          <w:szCs w:val="22"/>
        </w:rPr>
        <w:t xml:space="preserve">. In particular, JPY pairs had a notable increase in spreads, coinciding with the heightened volatility in the Japanese Yen around </w:t>
      </w:r>
      <w:r w:rsidR="00A54DA0">
        <w:rPr>
          <w:rFonts w:asciiTheme="minorHAnsi" w:hAnsiTheme="minorHAnsi" w:cstheme="minorHAnsi"/>
          <w:sz w:val="22"/>
          <w:szCs w:val="22"/>
        </w:rPr>
        <w:t xml:space="preserve">changing expectations for </w:t>
      </w:r>
      <w:r w:rsidR="007F12A3">
        <w:rPr>
          <w:rFonts w:asciiTheme="minorHAnsi" w:hAnsiTheme="minorHAnsi" w:cstheme="minorHAnsi"/>
          <w:sz w:val="22"/>
          <w:szCs w:val="22"/>
        </w:rPr>
        <w:t xml:space="preserve">the </w:t>
      </w:r>
      <w:r w:rsidR="00A54DA0">
        <w:rPr>
          <w:rFonts w:asciiTheme="minorHAnsi" w:hAnsiTheme="minorHAnsi" w:cstheme="minorHAnsi"/>
          <w:sz w:val="22"/>
          <w:szCs w:val="22"/>
        </w:rPr>
        <w:t xml:space="preserve">Bank of Japan and the </w:t>
      </w:r>
      <w:r w:rsidR="007F12A3">
        <w:rPr>
          <w:rFonts w:asciiTheme="minorHAnsi" w:hAnsiTheme="minorHAnsi" w:cstheme="minorHAnsi"/>
          <w:sz w:val="22"/>
          <w:szCs w:val="22"/>
        </w:rPr>
        <w:t>banks</w:t>
      </w:r>
      <w:r w:rsidR="00A54DA0">
        <w:rPr>
          <w:rFonts w:asciiTheme="minorHAnsi" w:hAnsiTheme="minorHAnsi" w:cstheme="minorHAnsi"/>
          <w:sz w:val="22"/>
          <w:szCs w:val="22"/>
        </w:rPr>
        <w:t xml:space="preserve"> </w:t>
      </w:r>
      <w:r w:rsidR="007F12A3">
        <w:rPr>
          <w:rFonts w:asciiTheme="minorHAnsi" w:hAnsiTheme="minorHAnsi" w:cstheme="minorHAnsi"/>
          <w:sz w:val="22"/>
          <w:szCs w:val="22"/>
        </w:rPr>
        <w:t xml:space="preserve">decision </w:t>
      </w:r>
      <w:r w:rsidR="007F12A3">
        <w:rPr>
          <w:rFonts w:asciiTheme="minorHAnsi" w:hAnsiTheme="minorHAnsi" w:cstheme="minorHAnsi"/>
          <w:sz w:val="22"/>
          <w:szCs w:val="22"/>
        </w:rPr>
        <w:t>on the 18</w:t>
      </w:r>
      <w:r w:rsidR="007F12A3" w:rsidRPr="007F12A3">
        <w:rPr>
          <w:rFonts w:asciiTheme="minorHAnsi" w:hAnsiTheme="minorHAnsi" w:cstheme="minorHAnsi"/>
          <w:sz w:val="22"/>
          <w:szCs w:val="22"/>
          <w:vertAlign w:val="superscript"/>
        </w:rPr>
        <w:t>th</w:t>
      </w:r>
      <w:r w:rsidR="007F12A3">
        <w:rPr>
          <w:rFonts w:asciiTheme="minorHAnsi" w:hAnsiTheme="minorHAnsi" w:cstheme="minorHAnsi"/>
          <w:sz w:val="22"/>
          <w:szCs w:val="22"/>
        </w:rPr>
        <w:t xml:space="preserve"> of </w:t>
      </w:r>
      <w:r w:rsidR="00A54DA0">
        <w:rPr>
          <w:rFonts w:asciiTheme="minorHAnsi" w:hAnsiTheme="minorHAnsi" w:cstheme="minorHAnsi"/>
          <w:sz w:val="22"/>
          <w:szCs w:val="22"/>
        </w:rPr>
        <w:t>September to raise rates to 1.25%.</w:t>
      </w:r>
    </w:p>
    <w:p w14:paraId="568A0413" w14:textId="77777777" w:rsidR="007F12A3" w:rsidRDefault="007F12A3" w:rsidP="005327CB">
      <w:pPr>
        <w:suppressAutoHyphens/>
        <w:spacing w:before="0"/>
        <w:jc w:val="both"/>
        <w:rPr>
          <w:rFonts w:asciiTheme="minorHAnsi" w:hAnsiTheme="minorHAnsi" w:cstheme="minorHAnsi"/>
          <w:sz w:val="22"/>
          <w:szCs w:val="22"/>
        </w:rPr>
      </w:pPr>
    </w:p>
    <w:p w14:paraId="5F9D2355" w14:textId="77777777" w:rsidR="007F12A3" w:rsidRDefault="007F12A3" w:rsidP="007F12A3">
      <w:pPr>
        <w:spacing w:before="0" w:after="80"/>
        <w:rPr>
          <w:rFonts w:asciiTheme="minorHAnsi" w:hAnsiTheme="minorHAnsi" w:cstheme="minorHAnsi"/>
          <w:sz w:val="22"/>
          <w:szCs w:val="22"/>
        </w:rPr>
      </w:pPr>
      <w:r w:rsidRPr="00910098">
        <w:rPr>
          <w:rStyle w:val="BodyTextChar"/>
          <w:sz w:val="22"/>
          <w:szCs w:val="24"/>
        </w:rPr>
        <w:t>Reading the Results</w:t>
      </w:r>
    </w:p>
    <w:p w14:paraId="2A6151C5" w14:textId="77777777" w:rsidR="007F12A3" w:rsidRDefault="007F12A3" w:rsidP="007F12A3">
      <w:pPr>
        <w:suppressAutoHyphens/>
        <w:spacing w:before="0"/>
        <w:jc w:val="both"/>
        <w:rPr>
          <w:rFonts w:asciiTheme="minorHAnsi" w:hAnsiTheme="minorHAnsi" w:cstheme="minorHAnsi"/>
          <w:sz w:val="22"/>
          <w:szCs w:val="22"/>
        </w:rPr>
      </w:pPr>
      <w:r>
        <w:rPr>
          <w:rFonts w:asciiTheme="minorHAnsi" w:hAnsiTheme="minorHAnsi" w:cstheme="minorHAnsi"/>
          <w:sz w:val="22"/>
          <w:szCs w:val="22"/>
        </w:rPr>
        <w:t>On</w:t>
      </w:r>
      <w:r w:rsidRPr="009D5757">
        <w:rPr>
          <w:rFonts w:asciiTheme="minorHAnsi" w:hAnsiTheme="minorHAnsi" w:cstheme="minorHAnsi"/>
          <w:sz w:val="22"/>
          <w:szCs w:val="22"/>
        </w:rPr>
        <w:t xml:space="preserve"> the intraday charts</w:t>
      </w:r>
      <w:r>
        <w:rPr>
          <w:rFonts w:asciiTheme="minorHAnsi" w:hAnsiTheme="minorHAnsi" w:cstheme="minorHAnsi"/>
          <w:sz w:val="22"/>
          <w:szCs w:val="22"/>
        </w:rPr>
        <w:t>, the green line represents the average spread or volatility for the past 12 months, the black line represents the past three months, and the blue line represents the past month.</w:t>
      </w:r>
      <w:r w:rsidRPr="009D5757">
        <w:rPr>
          <w:rFonts w:asciiTheme="minorHAnsi" w:hAnsiTheme="minorHAnsi" w:cstheme="minorHAnsi"/>
          <w:sz w:val="22"/>
          <w:szCs w:val="22"/>
        </w:rPr>
        <w:t xml:space="preserve"> On the daily charts, the </w:t>
      </w:r>
      <w:r>
        <w:rPr>
          <w:rFonts w:asciiTheme="minorHAnsi" w:hAnsiTheme="minorHAnsi" w:cstheme="minorHAnsi"/>
          <w:sz w:val="22"/>
          <w:szCs w:val="22"/>
        </w:rPr>
        <w:t>green</w:t>
      </w:r>
      <w:r w:rsidRPr="009D5757">
        <w:rPr>
          <w:rFonts w:asciiTheme="minorHAnsi" w:hAnsiTheme="minorHAnsi" w:cstheme="minorHAnsi"/>
          <w:sz w:val="22"/>
          <w:szCs w:val="22"/>
        </w:rPr>
        <w:t xml:space="preserve"> area represents the 95</w:t>
      </w:r>
      <w:r w:rsidRPr="00DE6297">
        <w:rPr>
          <w:rFonts w:asciiTheme="minorHAnsi" w:hAnsiTheme="minorHAnsi" w:cstheme="minorHAnsi"/>
          <w:sz w:val="22"/>
          <w:szCs w:val="22"/>
        </w:rPr>
        <w:t>th</w:t>
      </w:r>
      <w:r w:rsidRPr="009D5757">
        <w:rPr>
          <w:rFonts w:asciiTheme="minorHAnsi" w:hAnsiTheme="minorHAnsi" w:cstheme="minorHAnsi"/>
          <w:sz w:val="22"/>
          <w:szCs w:val="22"/>
        </w:rPr>
        <w:t xml:space="preserve"> percentile confidence interval for the spread and </w:t>
      </w:r>
      <w:r>
        <w:rPr>
          <w:rFonts w:asciiTheme="minorHAnsi" w:hAnsiTheme="minorHAnsi" w:cstheme="minorHAnsi"/>
          <w:sz w:val="22"/>
          <w:szCs w:val="22"/>
        </w:rPr>
        <w:t>volatility.</w:t>
      </w:r>
    </w:p>
    <w:p w14:paraId="728AAD88" w14:textId="77777777" w:rsidR="007F12A3" w:rsidRPr="00F63A63" w:rsidRDefault="007F12A3" w:rsidP="007F12A3">
      <w:pPr>
        <w:suppressAutoHyphens/>
        <w:spacing w:before="0"/>
        <w:jc w:val="both"/>
        <w:rPr>
          <w:rFonts w:asciiTheme="minorHAnsi" w:hAnsiTheme="minorHAnsi" w:cstheme="minorHAnsi"/>
          <w:sz w:val="22"/>
          <w:szCs w:val="22"/>
        </w:rPr>
      </w:pPr>
    </w:p>
    <w:p w14:paraId="4D3038BC" w14:textId="77777777" w:rsidR="007F12A3" w:rsidRDefault="007F12A3" w:rsidP="007F12A3">
      <w:pPr>
        <w:spacing w:before="0" w:after="80"/>
        <w:rPr>
          <w:rFonts w:asciiTheme="majorHAnsi" w:hAnsiTheme="majorHAnsi" w:cstheme="majorHAnsi"/>
          <w:b/>
          <w:sz w:val="22"/>
          <w:szCs w:val="22"/>
        </w:rPr>
      </w:pPr>
      <w:r>
        <w:rPr>
          <w:rFonts w:asciiTheme="majorHAnsi" w:hAnsiTheme="majorHAnsi" w:cstheme="majorHAnsi"/>
          <w:b/>
          <w:sz w:val="22"/>
          <w:szCs w:val="22"/>
        </w:rPr>
        <w:t>SPREADS</w:t>
      </w:r>
    </w:p>
    <w:p w14:paraId="6FCF774B" w14:textId="10D22B8D" w:rsidR="005327CB" w:rsidRDefault="007F12A3" w:rsidP="005327CB">
      <w:pPr>
        <w:spacing w:before="0" w:after="80"/>
        <w:jc w:val="both"/>
        <w:rPr>
          <w:rFonts w:asciiTheme="minorHAnsi" w:hAnsiTheme="minorHAnsi" w:cstheme="minorHAnsi"/>
          <w:sz w:val="22"/>
          <w:szCs w:val="22"/>
        </w:rPr>
      </w:pPr>
      <w:r>
        <w:rPr>
          <w:rFonts w:asciiTheme="minorHAnsi" w:hAnsiTheme="minorHAnsi" w:cstheme="minorHAnsi"/>
          <w:sz w:val="22"/>
          <w:szCs w:val="22"/>
        </w:rPr>
        <w:t xml:space="preserve">Median spread levels increased in September for </w:t>
      </w:r>
      <w:r w:rsidR="005327CB">
        <w:rPr>
          <w:rFonts w:asciiTheme="minorHAnsi" w:hAnsiTheme="minorHAnsi" w:cstheme="minorHAnsi"/>
          <w:sz w:val="22"/>
          <w:szCs w:val="22"/>
        </w:rPr>
        <w:t xml:space="preserve">the majority, </w:t>
      </w:r>
      <w:r>
        <w:rPr>
          <w:rFonts w:asciiTheme="minorHAnsi" w:hAnsiTheme="minorHAnsi" w:cstheme="minorHAnsi"/>
          <w:sz w:val="22"/>
          <w:szCs w:val="22"/>
        </w:rPr>
        <w:t>16 out of the 23 G-10 currency pairs we monitor.</w:t>
      </w:r>
      <w:r w:rsidR="005327CB">
        <w:rPr>
          <w:rFonts w:asciiTheme="minorHAnsi" w:hAnsiTheme="minorHAnsi" w:cstheme="minorHAnsi"/>
          <w:sz w:val="22"/>
          <w:szCs w:val="22"/>
        </w:rPr>
        <w:t xml:space="preserve"> However, spreads only increased for 10 out of the 23 G-10 currency pairs we monitor, when comparing them to 3 and 12 months ago. The Average Daily Spread charts highlight that spread levels were heightened across JPY currency pairs during the pre-WMR trading window, 12:00 – 16:00 GMT.  </w:t>
      </w:r>
      <w:bookmarkEnd w:id="3"/>
    </w:p>
    <w:p w14:paraId="71BD53E7" w14:textId="77777777" w:rsidR="005327CB" w:rsidRPr="005327CB" w:rsidRDefault="005327CB" w:rsidP="005327CB">
      <w:pPr>
        <w:spacing w:before="0"/>
        <w:jc w:val="both"/>
        <w:rPr>
          <w:rFonts w:asciiTheme="minorHAnsi" w:hAnsiTheme="minorHAnsi" w:cstheme="minorHAnsi"/>
          <w:sz w:val="22"/>
          <w:szCs w:val="22"/>
        </w:rPr>
      </w:pPr>
    </w:p>
    <w:p w14:paraId="471628F0" w14:textId="77777777" w:rsidR="00AA1658" w:rsidRPr="00137BC4" w:rsidRDefault="00AA1658" w:rsidP="00AA1658">
      <w:pPr>
        <w:spacing w:before="0" w:after="80"/>
        <w:rPr>
          <w:rFonts w:asciiTheme="minorHAnsi" w:hAnsiTheme="minorHAnsi" w:cstheme="minorHAnsi"/>
          <w:sz w:val="22"/>
          <w:szCs w:val="22"/>
        </w:rPr>
      </w:pPr>
      <w:r w:rsidRPr="00EA5191">
        <w:rPr>
          <w:rFonts w:ascii="Arial" w:hAnsi="Arial" w:cs="Arial"/>
          <w:b/>
          <w:sz w:val="22"/>
          <w:szCs w:val="22"/>
        </w:rPr>
        <w:t>G-10 Currency Pairs: Average Hourly Spread, 00:00-20:00 GMT</w:t>
      </w:r>
      <w:r w:rsidRPr="00EA5191">
        <w:rPr>
          <w:rFonts w:ascii="Arial" w:hAnsi="Arial" w:cs="Arial"/>
          <w:b/>
          <w:sz w:val="22"/>
          <w:szCs w:val="22"/>
        </w:rPr>
        <w:br/>
      </w:r>
      <w:r w:rsidRPr="00EA5191">
        <w:rPr>
          <w:rFonts w:ascii="Arial" w:hAnsi="Arial" w:cs="Arial"/>
          <w:sz w:val="22"/>
          <w:szCs w:val="22"/>
        </w:rPr>
        <w:t>Comparison over the past month, three months</w:t>
      </w:r>
      <w:r>
        <w:rPr>
          <w:rFonts w:ascii="Arial" w:hAnsi="Arial" w:cs="Arial"/>
          <w:sz w:val="22"/>
          <w:szCs w:val="22"/>
        </w:rPr>
        <w:t>,</w:t>
      </w:r>
      <w:r w:rsidRPr="00EA5191">
        <w:rPr>
          <w:rFonts w:ascii="Arial" w:hAnsi="Arial" w:cs="Arial"/>
          <w:sz w:val="22"/>
          <w:szCs w:val="22"/>
        </w:rPr>
        <w:t xml:space="preserve"> and year</w:t>
      </w:r>
    </w:p>
    <w:p w14:paraId="382D4C37" w14:textId="77777777" w:rsidR="00065E10" w:rsidRDefault="00065E10" w:rsidP="00AA1658">
      <w:pPr>
        <w:spacing w:before="0" w:after="80"/>
        <w:rPr>
          <w:rFonts w:asciiTheme="minorHAnsi" w:hAnsiTheme="minorHAnsi" w:cstheme="minorHAnsi"/>
          <w:noProof/>
        </w:rPr>
      </w:pPr>
      <w:r>
        <w:rPr>
          <w:noProof/>
        </w:rPr>
        <w:drawing>
          <wp:inline distT="0" distB="0" distL="0" distR="0" wp14:anchorId="231A8981" wp14:editId="4C19E025">
            <wp:extent cx="5943600" cy="3840480"/>
            <wp:effectExtent l="0" t="0" r="0" b="0"/>
            <wp:docPr id="100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hourly_spread_23_start_2025-09-01_end_2026-09-30_page_1.png"/>
                    <pic:cNvPicPr/>
                  </pic:nvPicPr>
                  <pic:blipFill>
                    <a:blip r:embed="rId11"/>
                    <a:stretch>
                      <a:fillRect/>
                    </a:stretch>
                  </pic:blipFill>
                  <pic:spPr>
                    <a:xfrm>
                      <a:off x="0" y="0"/>
                      <a:ext cx="5943600" cy="3840480"/>
                    </a:xfrm>
                    <a:prstGeom prst="rect">
                      <a:avLst/>
                    </a:prstGeom>
                  </pic:spPr>
                </pic:pic>
              </a:graphicData>
            </a:graphic>
          </wp:inline>
        </w:drawing>
      </w:r>
    </w:p>
    <w:p w14:paraId="3CD1A954" w14:textId="77777777" w:rsidR="00AA1658" w:rsidRPr="00886BDD" w:rsidRDefault="00065E10" w:rsidP="00886BDD">
      <w:pPr>
        <w:spacing w:before="0"/>
        <w:rPr>
          <w:rFonts w:asciiTheme="minorHAnsi" w:hAnsiTheme="minorHAnsi" w:cstheme="minorHAnsi"/>
          <w:noProof/>
        </w:rPr>
      </w:pPr>
      <w:r>
        <w:rPr>
          <w:rFonts w:asciiTheme="minorHAnsi" w:hAnsiTheme="minorHAnsi" w:cstheme="minorHAnsi"/>
          <w:noProof/>
        </w:rPr>
        <w:br w:type="page"/>
      </w:r>
      <w:r>
        <w:rPr>
          <w:noProof/>
        </w:rPr>
        <w:lastRenderedPageBreak/>
        <w:drawing>
          <wp:inline distT="0" distB="0" distL="0" distR="0" wp14:anchorId="17B8D3D2" wp14:editId="28A2D3BE">
            <wp:extent cx="5943600" cy="8686800"/>
            <wp:effectExtent l="0" t="0" r="0" b="0"/>
            <wp:docPr id="100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hourly_spread_23_start_2025-09-01_end_2026-09-30_page_2.png"/>
                    <pic:cNvPicPr/>
                  </pic:nvPicPr>
                  <pic:blipFill>
                    <a:blip r:embed="rId12"/>
                    <a:stretch>
                      <a:fillRect/>
                    </a:stretch>
                  </pic:blipFill>
                  <pic:spPr>
                    <a:xfrm>
                      <a:off x="0" y="0"/>
                      <a:ext cx="5943600" cy="8686800"/>
                    </a:xfrm>
                    <a:prstGeom prst="rect">
                      <a:avLst/>
                    </a:prstGeom>
                  </pic:spPr>
                </pic:pic>
              </a:graphicData>
            </a:graphic>
          </wp:inline>
        </w:drawing>
      </w:r>
    </w:p>
    <w:bookmarkEnd w:id="0"/>
    <w:bookmarkEnd w:id="2"/>
    <w:p w14:paraId="5259E311" w14:textId="77777777" w:rsidR="00C27611" w:rsidRDefault="00C27611">
      <w:pPr>
        <w:spacing w:before="0"/>
        <w:rPr>
          <w:rFonts w:ascii="Arial" w:hAnsi="Arial" w:cs="Arial"/>
          <w:b/>
          <w:bCs/>
          <w:sz w:val="22"/>
          <w:szCs w:val="22"/>
        </w:rPr>
      </w:pPr>
      <w:r>
        <w:rPr>
          <w:rFonts w:ascii="Arial" w:hAnsi="Arial" w:cs="Arial"/>
          <w:b/>
          <w:bCs/>
          <w:sz w:val="22"/>
          <w:szCs w:val="22"/>
        </w:rPr>
        <w:br w:type="page"/>
      </w:r>
    </w:p>
    <w:p w14:paraId="5D68DE10" w14:textId="77777777" w:rsidR="00424BB0" w:rsidRDefault="00886BDD" w:rsidP="00886BDD">
      <w:pPr>
        <w:pStyle w:val="IndexHeading"/>
        <w:pBdr>
          <w:top w:val="single" w:sz="4" w:space="4" w:color="auto"/>
        </w:pBdr>
        <w:spacing w:before="0"/>
        <w:rPr>
          <w:rFonts w:ascii="Arial" w:hAnsi="Arial" w:cs="Arial"/>
          <w:sz w:val="22"/>
          <w:szCs w:val="22"/>
        </w:rPr>
      </w:pPr>
      <w:r w:rsidRPr="006A61EC">
        <w:rPr>
          <w:rFonts w:ascii="Arial" w:hAnsi="Arial" w:cs="Arial"/>
          <w:sz w:val="22"/>
          <w:szCs w:val="22"/>
        </w:rPr>
        <w:lastRenderedPageBreak/>
        <w:t xml:space="preserve">Scandinavian G-10 Currencies: </w:t>
      </w:r>
      <w:r w:rsidRPr="00886BDD">
        <w:rPr>
          <w:rFonts w:ascii="Arial" w:hAnsi="Arial" w:cs="Arial"/>
          <w:sz w:val="22"/>
          <w:szCs w:val="22"/>
        </w:rPr>
        <w:t>Average Hourly Spread, 00:00-20:00 GMT</w:t>
      </w:r>
      <w:r>
        <w:rPr>
          <w:rFonts w:ascii="Arial" w:hAnsi="Arial" w:cs="Arial"/>
          <w:sz w:val="22"/>
          <w:szCs w:val="22"/>
        </w:rPr>
        <w:t xml:space="preserve"> </w:t>
      </w:r>
    </w:p>
    <w:p w14:paraId="1B1BF251" w14:textId="77777777" w:rsidR="00886BDD" w:rsidRDefault="00886BDD" w:rsidP="00886BDD">
      <w:pPr>
        <w:pStyle w:val="IndexHeading"/>
        <w:pBdr>
          <w:top w:val="single" w:sz="4" w:space="4" w:color="auto"/>
        </w:pBdr>
        <w:spacing w:before="0"/>
        <w:rPr>
          <w:rFonts w:ascii="Arial" w:hAnsi="Arial" w:cs="Arial"/>
          <w:b w:val="0"/>
          <w:sz w:val="22"/>
          <w:szCs w:val="22"/>
        </w:rPr>
      </w:pPr>
      <w:r w:rsidRPr="00424BB0">
        <w:rPr>
          <w:rFonts w:ascii="Arial" w:hAnsi="Arial" w:cs="Arial"/>
          <w:b w:val="0"/>
          <w:bCs/>
          <w:sz w:val="22"/>
          <w:szCs w:val="22"/>
        </w:rPr>
        <w:t>Comparison over the past month, three months, and year</w:t>
      </w:r>
    </w:p>
    <w:p w14:paraId="1A2BD37D" w14:textId="77777777" w:rsidR="00EE02BB" w:rsidRPr="00065E10" w:rsidRDefault="00065E10" w:rsidP="00B133AE">
      <w:pPr>
        <w:rPr>
          <w:rFonts w:asciiTheme="minorHAnsi" w:hAnsiTheme="minorHAnsi" w:cstheme="minorHAnsi"/>
          <w:noProof/>
        </w:rPr>
      </w:pPr>
      <w:r>
        <w:rPr>
          <w:noProof/>
        </w:rPr>
        <w:drawing>
          <wp:inline distT="0" distB="0" distL="0" distR="0" wp14:anchorId="09A1D933" wp14:editId="21161D58">
            <wp:extent cx="5943600" cy="3840480"/>
            <wp:effectExtent l="0" t="0" r="0" b="0"/>
            <wp:docPr id="100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hourly_spread_23_start_2025-09-01_end_2026-09-30_page_3.png"/>
                    <pic:cNvPicPr/>
                  </pic:nvPicPr>
                  <pic:blipFill>
                    <a:blip r:embed="rId13"/>
                    <a:stretch>
                      <a:fillRect/>
                    </a:stretch>
                  </pic:blipFill>
                  <pic:spPr>
                    <a:xfrm>
                      <a:off x="0" y="0"/>
                      <a:ext cx="5943600" cy="3840480"/>
                    </a:xfrm>
                    <a:prstGeom prst="rect">
                      <a:avLst/>
                    </a:prstGeom>
                  </pic:spPr>
                </pic:pic>
              </a:graphicData>
            </a:graphic>
          </wp:inline>
        </w:drawing>
      </w:r>
    </w:p>
    <w:p w14:paraId="1E5D0F85" w14:textId="77777777" w:rsidR="000A4BD8" w:rsidRDefault="00B133AE" w:rsidP="000A4BD8">
      <w:pPr>
        <w:pStyle w:val="IndexHeading"/>
        <w:pBdr>
          <w:top w:val="single" w:sz="4" w:space="4" w:color="auto"/>
        </w:pBdr>
        <w:rPr>
          <w:rFonts w:ascii="Arial" w:hAnsi="Arial" w:cs="Arial"/>
          <w:b w:val="0"/>
          <w:sz w:val="22"/>
          <w:szCs w:val="22"/>
        </w:rPr>
      </w:pPr>
      <w:r w:rsidRPr="006A61EC">
        <w:rPr>
          <w:rFonts w:ascii="Arial" w:hAnsi="Arial" w:cs="Arial"/>
          <w:sz w:val="22"/>
          <w:szCs w:val="22"/>
        </w:rPr>
        <w:t>G</w:t>
      </w:r>
      <w:r w:rsidR="00EE02BB" w:rsidRPr="0029531E">
        <w:rPr>
          <w:rFonts w:ascii="Arial" w:hAnsi="Arial" w:cs="Arial"/>
          <w:sz w:val="22"/>
          <w:szCs w:val="22"/>
        </w:rPr>
        <w:t>-10 Currencies: Average Daily Spread, 12</w:t>
      </w:r>
      <w:r w:rsidR="00EE02BB">
        <w:rPr>
          <w:rFonts w:ascii="Arial" w:hAnsi="Arial" w:cs="Arial"/>
          <w:sz w:val="22"/>
          <w:szCs w:val="22"/>
        </w:rPr>
        <w:t>:00</w:t>
      </w:r>
      <w:r w:rsidR="00EE02BB" w:rsidRPr="0029531E">
        <w:rPr>
          <w:rFonts w:ascii="Arial" w:hAnsi="Arial" w:cs="Arial"/>
          <w:sz w:val="22"/>
          <w:szCs w:val="22"/>
        </w:rPr>
        <w:t>-</w:t>
      </w:r>
      <w:r w:rsidR="00EE02BB">
        <w:rPr>
          <w:rFonts w:ascii="Arial" w:hAnsi="Arial" w:cs="Arial"/>
          <w:sz w:val="22"/>
          <w:szCs w:val="22"/>
        </w:rPr>
        <w:t>16:00</w:t>
      </w:r>
      <w:r w:rsidR="00EE02BB" w:rsidRPr="0029531E">
        <w:rPr>
          <w:rFonts w:ascii="Arial" w:hAnsi="Arial" w:cs="Arial"/>
          <w:sz w:val="22"/>
          <w:szCs w:val="22"/>
        </w:rPr>
        <w:t xml:space="preserve"> GMT</w:t>
      </w:r>
      <w:r w:rsidR="00EE02BB" w:rsidRPr="006A61EC">
        <w:rPr>
          <w:rFonts w:ascii="Arial" w:hAnsi="Arial" w:cs="Arial"/>
          <w:sz w:val="22"/>
          <w:szCs w:val="22"/>
        </w:rPr>
        <w:br/>
      </w:r>
      <w:r w:rsidR="002B6D12">
        <w:rPr>
          <w:rFonts w:ascii="Arial" w:hAnsi="Arial" w:cs="Arial"/>
          <w:b w:val="0"/>
          <w:sz w:val="22"/>
          <w:szCs w:val="22"/>
        </w:rPr>
        <w:t>September 2025-September 2026</w:t>
      </w:r>
    </w:p>
    <w:p w14:paraId="73292220" w14:textId="642700A1" w:rsidR="00170D42" w:rsidRDefault="00065E10" w:rsidP="00F019BD">
      <w:pPr>
        <w:pStyle w:val="IndexHeading"/>
        <w:pBdr>
          <w:top w:val="single" w:sz="4" w:space="4" w:color="auto"/>
        </w:pBdr>
        <w:rPr>
          <w:rFonts w:asciiTheme="minorHAnsi" w:hAnsiTheme="minorHAnsi" w:cstheme="minorHAnsi"/>
          <w:b w:val="0"/>
          <w:bCs/>
          <w:sz w:val="22"/>
          <w:szCs w:val="22"/>
        </w:rPr>
      </w:pPr>
      <w:r>
        <w:rPr>
          <w:noProof/>
        </w:rPr>
        <w:drawing>
          <wp:inline distT="0" distB="0" distL="0" distR="0" wp14:anchorId="68708C10" wp14:editId="40BA2C83">
            <wp:extent cx="5943600" cy="3886200"/>
            <wp:effectExtent l="0" t="0" r="0" b="0"/>
            <wp:docPr id="100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daily_daily_volatility_23_start_2025-09-01_end_2026-09-30_page_1.png"/>
                    <pic:cNvPicPr/>
                  </pic:nvPicPr>
                  <pic:blipFill>
                    <a:blip r:embed="rId14"/>
                    <a:stretch>
                      <a:fillRect/>
                    </a:stretch>
                  </pic:blipFill>
                  <pic:spPr>
                    <a:xfrm>
                      <a:off x="0" y="0"/>
                      <a:ext cx="5943600" cy="3886200"/>
                    </a:xfrm>
                    <a:prstGeom prst="rect">
                      <a:avLst/>
                    </a:prstGeom>
                  </pic:spPr>
                </pic:pic>
              </a:graphicData>
            </a:graphic>
          </wp:inline>
        </w:drawing>
      </w:r>
    </w:p>
    <w:p w14:paraId="0DF7528F" w14:textId="3DF267B5" w:rsidR="00170D42" w:rsidRDefault="00170D42">
      <w:pPr>
        <w:spacing w:before="0"/>
        <w:rPr>
          <w:rFonts w:asciiTheme="minorHAnsi" w:hAnsiTheme="minorHAnsi" w:cstheme="minorHAnsi"/>
          <w:bCs/>
          <w:sz w:val="22"/>
          <w:szCs w:val="22"/>
        </w:rPr>
      </w:pPr>
      <w:r>
        <w:rPr>
          <w:rFonts w:asciiTheme="minorHAnsi" w:hAnsiTheme="minorHAnsi" w:cstheme="minorHAnsi"/>
          <w:b/>
          <w:bCs/>
          <w:sz w:val="22"/>
          <w:szCs w:val="22"/>
        </w:rPr>
        <w:br w:type="page"/>
      </w:r>
      <w:r>
        <w:rPr>
          <w:noProof/>
        </w:rPr>
        <w:lastRenderedPageBreak/>
        <w:drawing>
          <wp:inline distT="0" distB="0" distL="0" distR="0" wp14:anchorId="54EA9BEA" wp14:editId="544F1E3F">
            <wp:extent cx="5673725" cy="8292367"/>
            <wp:effectExtent l="0" t="0" r="3175" b="0"/>
            <wp:docPr id="14290962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daily_daily_volatility_23_start_2025-09-01_end_2026-09-30_page_2.png"/>
                    <pic:cNvPicPr/>
                  </pic:nvPicPr>
                  <pic:blipFill>
                    <a:blip r:embed="rId15"/>
                    <a:stretch>
                      <a:fillRect/>
                    </a:stretch>
                  </pic:blipFill>
                  <pic:spPr>
                    <a:xfrm>
                      <a:off x="0" y="0"/>
                      <a:ext cx="5673725" cy="8292367"/>
                    </a:xfrm>
                    <a:prstGeom prst="rect">
                      <a:avLst/>
                    </a:prstGeom>
                  </pic:spPr>
                </pic:pic>
              </a:graphicData>
            </a:graphic>
          </wp:inline>
        </w:drawing>
      </w:r>
    </w:p>
    <w:p w14:paraId="7F10A61C" w14:textId="77777777" w:rsidR="00282B23" w:rsidRPr="00065E10" w:rsidRDefault="00282B23" w:rsidP="00F019BD">
      <w:pPr>
        <w:pStyle w:val="IndexHeading"/>
        <w:pBdr>
          <w:top w:val="single" w:sz="4" w:space="4" w:color="auto"/>
        </w:pBdr>
        <w:rPr>
          <w:rFonts w:asciiTheme="minorHAnsi" w:hAnsiTheme="minorHAnsi" w:cstheme="minorHAnsi"/>
          <w:b w:val="0"/>
          <w:bCs/>
          <w:sz w:val="22"/>
          <w:szCs w:val="22"/>
        </w:rPr>
      </w:pPr>
    </w:p>
    <w:p w14:paraId="2099FFA9" w14:textId="5C0DD518" w:rsidR="00EE02BB" w:rsidRPr="00170D42" w:rsidRDefault="006C437E" w:rsidP="00170D42">
      <w:pPr>
        <w:pStyle w:val="IndexHeading"/>
        <w:pBdr>
          <w:top w:val="single" w:sz="4" w:space="4" w:color="auto"/>
        </w:pBdr>
        <w:spacing w:before="0"/>
        <w:rPr>
          <w:rFonts w:ascii="Arial" w:hAnsi="Arial" w:cs="Arial"/>
          <w:b w:val="0"/>
          <w:sz w:val="22"/>
          <w:szCs w:val="22"/>
        </w:rPr>
      </w:pPr>
      <w:r>
        <w:rPr>
          <w:noProof/>
        </w:rPr>
        <w:br w:type="page"/>
      </w:r>
      <w:r w:rsidR="0085632F" w:rsidRPr="006A61EC">
        <w:rPr>
          <w:rFonts w:ascii="Arial" w:hAnsi="Arial" w:cs="Arial"/>
          <w:sz w:val="22"/>
          <w:szCs w:val="22"/>
        </w:rPr>
        <w:lastRenderedPageBreak/>
        <w:t xml:space="preserve">Scandinavian G-10 Currencies: Average </w:t>
      </w:r>
      <w:r w:rsidR="0085632F">
        <w:rPr>
          <w:rFonts w:ascii="Arial" w:hAnsi="Arial" w:cs="Arial"/>
          <w:sz w:val="22"/>
          <w:szCs w:val="22"/>
        </w:rPr>
        <w:t>Daily</w:t>
      </w:r>
      <w:r w:rsidR="0085632F" w:rsidRPr="006A61EC">
        <w:rPr>
          <w:rFonts w:ascii="Arial" w:hAnsi="Arial" w:cs="Arial"/>
          <w:sz w:val="22"/>
          <w:szCs w:val="22"/>
        </w:rPr>
        <w:t xml:space="preserve"> Spread, </w:t>
      </w:r>
      <w:r w:rsidR="0085632F">
        <w:rPr>
          <w:rFonts w:ascii="Arial" w:hAnsi="Arial" w:cs="Arial"/>
          <w:sz w:val="22"/>
          <w:szCs w:val="22"/>
        </w:rPr>
        <w:t>12:00</w:t>
      </w:r>
      <w:r w:rsidR="0085632F" w:rsidRPr="006A61EC">
        <w:rPr>
          <w:rFonts w:ascii="Arial" w:hAnsi="Arial" w:cs="Arial"/>
          <w:sz w:val="22"/>
          <w:szCs w:val="22"/>
        </w:rPr>
        <w:t>-</w:t>
      </w:r>
      <w:r w:rsidR="0085632F">
        <w:rPr>
          <w:rFonts w:ascii="Arial" w:hAnsi="Arial" w:cs="Arial"/>
          <w:sz w:val="22"/>
          <w:szCs w:val="22"/>
        </w:rPr>
        <w:t xml:space="preserve">16:00 </w:t>
      </w:r>
      <w:r w:rsidR="0085632F" w:rsidRPr="006A61EC">
        <w:rPr>
          <w:rFonts w:ascii="Arial" w:hAnsi="Arial" w:cs="Arial"/>
          <w:sz w:val="22"/>
          <w:szCs w:val="22"/>
        </w:rPr>
        <w:t>GMT</w:t>
      </w:r>
      <w:r w:rsidR="0085632F" w:rsidRPr="006A61EC">
        <w:rPr>
          <w:rFonts w:ascii="Arial" w:hAnsi="Arial" w:cs="Arial"/>
          <w:b w:val="0"/>
          <w:sz w:val="22"/>
          <w:szCs w:val="22"/>
        </w:rPr>
        <w:br/>
      </w:r>
      <w:r w:rsidR="0085632F">
        <w:rPr>
          <w:rFonts w:ascii="Arial" w:hAnsi="Arial" w:cs="Arial"/>
          <w:b w:val="0"/>
          <w:sz w:val="22"/>
          <w:szCs w:val="22"/>
        </w:rPr>
        <w:t>September 2025-September 2026</w:t>
      </w:r>
    </w:p>
    <w:p w14:paraId="4EF1B51C" w14:textId="77777777" w:rsidR="00EE02BB" w:rsidRDefault="00EE02BB" w:rsidP="00EE02BB">
      <w:pPr>
        <w:pStyle w:val="Index1"/>
        <w:framePr w:wrap="around"/>
      </w:pPr>
    </w:p>
    <w:p w14:paraId="29BDCE49" w14:textId="19B4DC1A" w:rsidR="00974C6A" w:rsidRPr="0085632F" w:rsidRDefault="00C27611" w:rsidP="0085632F">
      <w:pPr>
        <w:spacing w:before="0"/>
      </w:pPr>
      <w:r>
        <w:rPr>
          <w:noProof/>
        </w:rPr>
        <w:drawing>
          <wp:inline distT="0" distB="0" distL="0" distR="0" wp14:anchorId="0421BB7D" wp14:editId="1D225D10">
            <wp:extent cx="5943600" cy="3886200"/>
            <wp:effectExtent l="0" t="0" r="0" b="0"/>
            <wp:docPr id="100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daily_daily_volatility_23_start_2025-09-01_end_2026-09-30_page_3.png"/>
                    <pic:cNvPicPr/>
                  </pic:nvPicPr>
                  <pic:blipFill>
                    <a:blip r:embed="rId16"/>
                    <a:stretch>
                      <a:fillRect/>
                    </a:stretch>
                  </pic:blipFill>
                  <pic:spPr>
                    <a:xfrm>
                      <a:off x="0" y="0"/>
                      <a:ext cx="5943600" cy="3886200"/>
                    </a:xfrm>
                    <a:prstGeom prst="rect">
                      <a:avLst/>
                    </a:prstGeom>
                  </pic:spPr>
                </pic:pic>
              </a:graphicData>
            </a:graphic>
          </wp:inline>
        </w:drawing>
      </w:r>
    </w:p>
    <w:p w14:paraId="719F9B8F" w14:textId="77777777" w:rsidR="00955017" w:rsidRDefault="00955017">
      <w:pPr>
        <w:spacing w:before="0"/>
        <w:rPr>
          <w:rFonts w:asciiTheme="majorHAnsi" w:hAnsiTheme="majorHAnsi" w:cstheme="majorHAnsi"/>
          <w:b/>
          <w:sz w:val="22"/>
          <w:szCs w:val="22"/>
        </w:rPr>
      </w:pPr>
      <w:r>
        <w:rPr>
          <w:rFonts w:asciiTheme="majorHAnsi" w:hAnsiTheme="majorHAnsi" w:cstheme="majorHAnsi"/>
          <w:b/>
          <w:sz w:val="22"/>
          <w:szCs w:val="22"/>
        </w:rPr>
        <w:br w:type="page"/>
      </w:r>
    </w:p>
    <w:p w14:paraId="131FC360" w14:textId="77777777" w:rsidR="00CC5753" w:rsidRPr="00615B6E" w:rsidRDefault="00910098" w:rsidP="00615B6E">
      <w:pPr>
        <w:spacing w:before="0" w:line="360" w:lineRule="auto"/>
        <w:rPr>
          <w:rFonts w:asciiTheme="majorHAnsi" w:hAnsiTheme="majorHAnsi" w:cstheme="majorHAnsi"/>
          <w:b/>
          <w:sz w:val="22"/>
          <w:szCs w:val="22"/>
        </w:rPr>
      </w:pPr>
      <w:bookmarkStart w:id="4" w:name="_Hlk197102955"/>
      <w:r>
        <w:rPr>
          <w:rFonts w:asciiTheme="majorHAnsi" w:hAnsiTheme="majorHAnsi" w:cstheme="majorHAnsi"/>
          <w:b/>
          <w:sz w:val="22"/>
          <w:szCs w:val="22"/>
        </w:rPr>
        <w:lastRenderedPageBreak/>
        <w:t>VOLATILITY</w:t>
      </w:r>
      <w:bookmarkEnd w:id="4"/>
    </w:p>
    <w:p w14:paraId="35AF5EB9" w14:textId="52C650ED" w:rsidR="00B8429F" w:rsidRDefault="00C10BDE" w:rsidP="00C10BDE">
      <w:pPr>
        <w:spacing w:before="0" w:after="80"/>
        <w:jc w:val="both"/>
        <w:rPr>
          <w:rFonts w:asciiTheme="minorHAnsi" w:hAnsiTheme="minorHAnsi" w:cstheme="minorHAnsi"/>
          <w:sz w:val="22"/>
          <w:szCs w:val="22"/>
        </w:rPr>
      </w:pPr>
      <w:r>
        <w:rPr>
          <w:rFonts w:asciiTheme="minorHAnsi" w:hAnsiTheme="minorHAnsi" w:cstheme="minorHAnsi"/>
          <w:sz w:val="22"/>
          <w:szCs w:val="22"/>
        </w:rPr>
        <w:t>Median volatility levels increased in September for majority, 19 out of the 23 G-10 currency pairs we monitor. However, volatility only increased for 7 out of the 23 currency pairs, when comparing against 3 months ago, and 6 out of the 23 currency pairs, when comparing against 12 months ago. The Average Hourly Volatility</w:t>
      </w:r>
      <w:r w:rsidR="00B8429F">
        <w:rPr>
          <w:rFonts w:asciiTheme="minorHAnsi" w:hAnsiTheme="minorHAnsi" w:cstheme="minorHAnsi"/>
          <w:sz w:val="22"/>
          <w:szCs w:val="22"/>
        </w:rPr>
        <w:t xml:space="preserve"> charts show volatility levels heightened for most currency pairs, throughout the trading day.</w:t>
      </w:r>
    </w:p>
    <w:p w14:paraId="6A7B882A" w14:textId="77777777" w:rsidR="00B8429F" w:rsidRDefault="00B8429F" w:rsidP="00C10BDE">
      <w:pPr>
        <w:spacing w:before="0" w:after="80"/>
        <w:jc w:val="both"/>
        <w:rPr>
          <w:rFonts w:asciiTheme="minorHAnsi" w:hAnsiTheme="minorHAnsi" w:cstheme="minorHAnsi"/>
          <w:sz w:val="22"/>
          <w:szCs w:val="22"/>
        </w:rPr>
      </w:pPr>
    </w:p>
    <w:p w14:paraId="782A07E5" w14:textId="16386196" w:rsidR="00CA0E5D" w:rsidRDefault="00B8429F" w:rsidP="00C10BDE">
      <w:pPr>
        <w:spacing w:before="0" w:after="80"/>
        <w:jc w:val="both"/>
        <w:rPr>
          <w:rFonts w:asciiTheme="minorHAnsi" w:hAnsiTheme="minorHAnsi" w:cstheme="minorHAnsi"/>
          <w:sz w:val="22"/>
          <w:szCs w:val="22"/>
        </w:rPr>
      </w:pPr>
      <w:r>
        <w:rPr>
          <w:rFonts w:asciiTheme="minorHAnsi" w:hAnsiTheme="minorHAnsi" w:cstheme="minorHAnsi"/>
          <w:sz w:val="22"/>
          <w:szCs w:val="22"/>
        </w:rPr>
        <w:t>The Average Daily Volatility charts show that volatility levels increased in September for all currency pairs we monitor, during the pre-WMR trading window, 12:00 – 16:00 GMT.</w:t>
      </w:r>
      <w:r w:rsidR="00CA0E5D">
        <w:rPr>
          <w:rFonts w:asciiTheme="minorHAnsi" w:hAnsiTheme="minorHAnsi" w:cstheme="minorHAnsi"/>
          <w:sz w:val="22"/>
          <w:szCs w:val="22"/>
        </w:rPr>
        <w:t xml:space="preserve"> On the other hand, the Average Daily Volatility charts show that September volatility levels during the pre-WMR trading window, 12:00 – 16:00, did not surpass those of historical levels. Suggesting that the heightened levels observed may represent a natural rebound following the quieter summer trading period, rather than a significant structural increase in market volatility. </w:t>
      </w:r>
    </w:p>
    <w:p w14:paraId="0F76E0A6" w14:textId="77777777" w:rsidR="00C27611" w:rsidRDefault="00C27611" w:rsidP="00544B90">
      <w:pPr>
        <w:spacing w:before="0"/>
        <w:rPr>
          <w:rFonts w:asciiTheme="minorHAnsi" w:hAnsiTheme="minorHAnsi" w:cstheme="minorHAnsi"/>
          <w:sz w:val="22"/>
          <w:szCs w:val="22"/>
        </w:rPr>
      </w:pPr>
    </w:p>
    <w:p w14:paraId="5E94F5F4" w14:textId="77777777" w:rsidR="00242394" w:rsidRDefault="00873499" w:rsidP="00886BDD">
      <w:pPr>
        <w:pStyle w:val="IndexHeading"/>
        <w:pBdr>
          <w:top w:val="single" w:sz="4" w:space="4" w:color="auto"/>
        </w:pBdr>
        <w:rPr>
          <w:rFonts w:ascii="Arial" w:hAnsi="Arial" w:cs="Arial"/>
          <w:b w:val="0"/>
          <w:sz w:val="22"/>
          <w:szCs w:val="22"/>
        </w:rPr>
      </w:pPr>
      <w:r w:rsidRPr="006A61EC">
        <w:rPr>
          <w:rFonts w:ascii="Arial" w:hAnsi="Arial" w:cs="Arial"/>
          <w:sz w:val="22"/>
          <w:szCs w:val="22"/>
        </w:rPr>
        <w:t xml:space="preserve">G-10 Currencies: Average Hourly </w:t>
      </w:r>
      <w:r>
        <w:rPr>
          <w:rFonts w:ascii="Arial" w:hAnsi="Arial" w:cs="Arial"/>
          <w:sz w:val="22"/>
          <w:szCs w:val="22"/>
        </w:rPr>
        <w:t>Volatility</w:t>
      </w:r>
      <w:r w:rsidRPr="006A61EC">
        <w:rPr>
          <w:rFonts w:ascii="Arial" w:hAnsi="Arial" w:cs="Arial"/>
          <w:sz w:val="22"/>
          <w:szCs w:val="22"/>
        </w:rPr>
        <w:t xml:space="preserve">, </w:t>
      </w:r>
      <w:r>
        <w:rPr>
          <w:rFonts w:ascii="Arial" w:hAnsi="Arial" w:cs="Arial"/>
          <w:sz w:val="22"/>
          <w:szCs w:val="22"/>
        </w:rPr>
        <w:t>00:00</w:t>
      </w:r>
      <w:r w:rsidRPr="006A61EC">
        <w:rPr>
          <w:rFonts w:ascii="Arial" w:hAnsi="Arial" w:cs="Arial"/>
          <w:sz w:val="22"/>
          <w:szCs w:val="22"/>
        </w:rPr>
        <w:t>-</w:t>
      </w:r>
      <w:r>
        <w:rPr>
          <w:rFonts w:ascii="Arial" w:hAnsi="Arial" w:cs="Arial"/>
          <w:sz w:val="22"/>
          <w:szCs w:val="22"/>
        </w:rPr>
        <w:t xml:space="preserve">20:00 </w:t>
      </w:r>
      <w:r w:rsidRPr="006A61EC">
        <w:rPr>
          <w:rFonts w:ascii="Arial" w:hAnsi="Arial" w:cs="Arial"/>
          <w:sz w:val="22"/>
          <w:szCs w:val="22"/>
        </w:rPr>
        <w:t>GMT</w:t>
      </w:r>
      <w:r w:rsidRPr="006A61EC">
        <w:rPr>
          <w:rFonts w:ascii="Arial" w:hAnsi="Arial" w:cs="Arial"/>
          <w:b w:val="0"/>
          <w:sz w:val="22"/>
          <w:szCs w:val="22"/>
        </w:rPr>
        <w:br/>
      </w:r>
      <w:r>
        <w:rPr>
          <w:rFonts w:ascii="Arial" w:hAnsi="Arial" w:cs="Arial"/>
          <w:b w:val="0"/>
          <w:sz w:val="22"/>
          <w:szCs w:val="22"/>
        </w:rPr>
        <w:t>Comparison over the p</w:t>
      </w:r>
      <w:r w:rsidRPr="006A61EC">
        <w:rPr>
          <w:rFonts w:ascii="Arial" w:hAnsi="Arial" w:cs="Arial"/>
          <w:b w:val="0"/>
          <w:sz w:val="22"/>
          <w:szCs w:val="22"/>
        </w:rPr>
        <w:t xml:space="preserve">ast </w:t>
      </w:r>
      <w:r>
        <w:rPr>
          <w:rFonts w:ascii="Arial" w:hAnsi="Arial" w:cs="Arial"/>
          <w:b w:val="0"/>
          <w:sz w:val="22"/>
          <w:szCs w:val="22"/>
        </w:rPr>
        <w:t>m</w:t>
      </w:r>
      <w:r w:rsidRPr="006A61EC">
        <w:rPr>
          <w:rFonts w:ascii="Arial" w:hAnsi="Arial" w:cs="Arial"/>
          <w:b w:val="0"/>
          <w:sz w:val="22"/>
          <w:szCs w:val="22"/>
        </w:rPr>
        <w:t xml:space="preserve">onth, </w:t>
      </w:r>
      <w:r>
        <w:rPr>
          <w:rFonts w:ascii="Arial" w:hAnsi="Arial" w:cs="Arial"/>
          <w:b w:val="0"/>
          <w:sz w:val="22"/>
          <w:szCs w:val="22"/>
        </w:rPr>
        <w:t>t</w:t>
      </w:r>
      <w:r w:rsidRPr="006A61EC">
        <w:rPr>
          <w:rFonts w:ascii="Arial" w:hAnsi="Arial" w:cs="Arial"/>
          <w:b w:val="0"/>
          <w:sz w:val="22"/>
          <w:szCs w:val="22"/>
        </w:rPr>
        <w:t xml:space="preserve">hree </w:t>
      </w:r>
      <w:r>
        <w:rPr>
          <w:rFonts w:ascii="Arial" w:hAnsi="Arial" w:cs="Arial"/>
          <w:b w:val="0"/>
          <w:sz w:val="22"/>
          <w:szCs w:val="22"/>
        </w:rPr>
        <w:t>m</w:t>
      </w:r>
      <w:r w:rsidRPr="006A61EC">
        <w:rPr>
          <w:rFonts w:ascii="Arial" w:hAnsi="Arial" w:cs="Arial"/>
          <w:b w:val="0"/>
          <w:sz w:val="22"/>
          <w:szCs w:val="22"/>
        </w:rPr>
        <w:t xml:space="preserve">onths and </w:t>
      </w:r>
      <w:r>
        <w:rPr>
          <w:rFonts w:ascii="Arial" w:hAnsi="Arial" w:cs="Arial"/>
          <w:b w:val="0"/>
          <w:sz w:val="22"/>
          <w:szCs w:val="22"/>
        </w:rPr>
        <w:t>y</w:t>
      </w:r>
      <w:r w:rsidRPr="006A61EC">
        <w:rPr>
          <w:rFonts w:ascii="Arial" w:hAnsi="Arial" w:cs="Arial"/>
          <w:b w:val="0"/>
          <w:sz w:val="22"/>
          <w:szCs w:val="22"/>
        </w:rPr>
        <w:t>ear</w:t>
      </w:r>
    </w:p>
    <w:p w14:paraId="13AC6D95" w14:textId="77777777" w:rsidR="0085632F" w:rsidRPr="0085632F" w:rsidRDefault="0085632F" w:rsidP="0085632F">
      <w:pPr>
        <w:pStyle w:val="Index1"/>
        <w:framePr w:wrap="around"/>
      </w:pPr>
    </w:p>
    <w:p w14:paraId="58F49BBC" w14:textId="77777777" w:rsidR="0085632F" w:rsidRPr="0085632F" w:rsidRDefault="0085632F" w:rsidP="0085632F">
      <w:pPr>
        <w:pStyle w:val="Index1"/>
        <w:framePr w:wrap="around"/>
      </w:pPr>
    </w:p>
    <w:p w14:paraId="3B075463" w14:textId="77777777" w:rsidR="0085632F" w:rsidRDefault="0085632F" w:rsidP="00873499">
      <w:pPr>
        <w:spacing w:before="0"/>
        <w:rPr>
          <w:rFonts w:asciiTheme="minorHAnsi" w:hAnsiTheme="minorHAnsi" w:cstheme="minorHAnsi"/>
          <w:noProof/>
        </w:rPr>
      </w:pPr>
    </w:p>
    <w:p w14:paraId="233D32AF" w14:textId="77777777" w:rsidR="00F50824" w:rsidRDefault="00065E10" w:rsidP="00873499">
      <w:pPr>
        <w:spacing w:before="0"/>
        <w:rPr>
          <w:rFonts w:asciiTheme="minorHAnsi" w:hAnsiTheme="minorHAnsi" w:cstheme="minorHAnsi"/>
          <w:sz w:val="22"/>
          <w:szCs w:val="22"/>
        </w:rPr>
      </w:pPr>
      <w:r>
        <w:rPr>
          <w:noProof/>
        </w:rPr>
        <w:drawing>
          <wp:inline distT="0" distB="0" distL="0" distR="0" wp14:anchorId="4A59008F" wp14:editId="53774E4E">
            <wp:extent cx="5943600" cy="3840480"/>
            <wp:effectExtent l="0" t="0" r="0" b="0"/>
            <wp:docPr id="10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hourly_volatility_23_start_2025-09-01_end_2026-09-30_page_1.png"/>
                    <pic:cNvPicPr/>
                  </pic:nvPicPr>
                  <pic:blipFill>
                    <a:blip r:embed="rId17"/>
                    <a:stretch>
                      <a:fillRect/>
                    </a:stretch>
                  </pic:blipFill>
                  <pic:spPr>
                    <a:xfrm>
                      <a:off x="0" y="0"/>
                      <a:ext cx="5943600" cy="3840480"/>
                    </a:xfrm>
                    <a:prstGeom prst="rect">
                      <a:avLst/>
                    </a:prstGeom>
                  </pic:spPr>
                </pic:pic>
              </a:graphicData>
            </a:graphic>
          </wp:inline>
        </w:drawing>
      </w:r>
    </w:p>
    <w:p w14:paraId="7DCE1972" w14:textId="77777777" w:rsidR="00F50824" w:rsidRPr="00F50824" w:rsidRDefault="00F50824">
      <w:pPr>
        <w:spacing w:before="0"/>
        <w:rPr>
          <w:rFonts w:asciiTheme="minorHAnsi" w:hAnsiTheme="minorHAnsi" w:cstheme="minorHAnsi"/>
          <w:sz w:val="4"/>
          <w:szCs w:val="4"/>
        </w:rPr>
      </w:pPr>
      <w:r>
        <w:rPr>
          <w:rFonts w:asciiTheme="minorHAnsi" w:hAnsiTheme="minorHAnsi" w:cstheme="minorHAnsi"/>
          <w:sz w:val="22"/>
          <w:szCs w:val="22"/>
        </w:rPr>
        <w:br w:type="page"/>
      </w:r>
    </w:p>
    <w:p w14:paraId="66B31B41" w14:textId="77777777" w:rsidR="00B743F9" w:rsidRDefault="00065E10" w:rsidP="00B743F9">
      <w:pPr>
        <w:spacing w:before="0" w:after="80"/>
        <w:rPr>
          <w:rFonts w:asciiTheme="minorHAnsi" w:hAnsiTheme="minorHAnsi" w:cstheme="minorHAnsi"/>
          <w:sz w:val="22"/>
          <w:szCs w:val="22"/>
        </w:rPr>
      </w:pPr>
      <w:r>
        <w:rPr>
          <w:noProof/>
        </w:rPr>
        <w:lastRenderedPageBreak/>
        <w:drawing>
          <wp:inline distT="0" distB="0" distL="0" distR="0" wp14:anchorId="2303F6CE" wp14:editId="6A2008F6">
            <wp:extent cx="5943600" cy="8686800"/>
            <wp:effectExtent l="0" t="0" r="0" b="0"/>
            <wp:docPr id="100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hourly_volatility_23_start_2025-09-01_end_2026-09-30_page_2.png"/>
                    <pic:cNvPicPr/>
                  </pic:nvPicPr>
                  <pic:blipFill>
                    <a:blip r:embed="rId18"/>
                    <a:stretch>
                      <a:fillRect/>
                    </a:stretch>
                  </pic:blipFill>
                  <pic:spPr>
                    <a:xfrm>
                      <a:off x="0" y="0"/>
                      <a:ext cx="5943600" cy="8686800"/>
                    </a:xfrm>
                    <a:prstGeom prst="rect">
                      <a:avLst/>
                    </a:prstGeom>
                  </pic:spPr>
                </pic:pic>
              </a:graphicData>
            </a:graphic>
          </wp:inline>
        </w:drawing>
      </w:r>
    </w:p>
    <w:p w14:paraId="00297BBC" w14:textId="77777777" w:rsidR="00B743F9" w:rsidRPr="00F50824" w:rsidRDefault="00B743F9">
      <w:pPr>
        <w:spacing w:before="0"/>
        <w:rPr>
          <w:rFonts w:asciiTheme="minorHAnsi" w:hAnsiTheme="minorHAnsi" w:cstheme="minorHAnsi"/>
          <w:sz w:val="2"/>
          <w:szCs w:val="2"/>
        </w:rPr>
      </w:pPr>
      <w:r w:rsidRPr="00F50824">
        <w:rPr>
          <w:rFonts w:asciiTheme="minorHAnsi" w:hAnsiTheme="minorHAnsi" w:cstheme="minorHAnsi"/>
          <w:sz w:val="2"/>
          <w:szCs w:val="2"/>
        </w:rPr>
        <w:br w:type="page"/>
      </w:r>
    </w:p>
    <w:p w14:paraId="527C9D15" w14:textId="77777777" w:rsidR="00902E2D" w:rsidRPr="004B3D77" w:rsidRDefault="00902E2D" w:rsidP="00544B90">
      <w:pPr>
        <w:pStyle w:val="IndexHeading"/>
        <w:pBdr>
          <w:top w:val="single" w:sz="4" w:space="4" w:color="auto"/>
        </w:pBdr>
        <w:spacing w:before="0"/>
      </w:pPr>
      <w:r w:rsidRPr="006A61EC">
        <w:rPr>
          <w:rFonts w:ascii="Arial" w:hAnsi="Arial" w:cs="Arial"/>
          <w:sz w:val="22"/>
          <w:szCs w:val="22"/>
        </w:rPr>
        <w:lastRenderedPageBreak/>
        <w:t xml:space="preserve">Scandinavian G-10 Currencies: Average Hourly </w:t>
      </w:r>
      <w:r w:rsidR="00F50279">
        <w:rPr>
          <w:rFonts w:ascii="Arial" w:hAnsi="Arial" w:cs="Arial"/>
          <w:sz w:val="22"/>
          <w:szCs w:val="22"/>
        </w:rPr>
        <w:t>Volatility</w:t>
      </w:r>
      <w:r w:rsidRPr="006A61EC">
        <w:rPr>
          <w:rFonts w:ascii="Arial" w:hAnsi="Arial" w:cs="Arial"/>
          <w:sz w:val="22"/>
          <w:szCs w:val="22"/>
        </w:rPr>
        <w:t xml:space="preserve">, </w:t>
      </w:r>
      <w:r>
        <w:rPr>
          <w:rFonts w:ascii="Arial" w:hAnsi="Arial" w:cs="Arial"/>
          <w:sz w:val="22"/>
          <w:szCs w:val="22"/>
        </w:rPr>
        <w:t>00:00</w:t>
      </w:r>
      <w:r w:rsidRPr="006A61EC">
        <w:rPr>
          <w:rFonts w:ascii="Arial" w:hAnsi="Arial" w:cs="Arial"/>
          <w:sz w:val="22"/>
          <w:szCs w:val="22"/>
        </w:rPr>
        <w:t>-</w:t>
      </w:r>
      <w:r>
        <w:rPr>
          <w:rFonts w:ascii="Arial" w:hAnsi="Arial" w:cs="Arial"/>
          <w:sz w:val="22"/>
          <w:szCs w:val="22"/>
        </w:rPr>
        <w:t xml:space="preserve">20:00 </w:t>
      </w:r>
      <w:r w:rsidRPr="006A61EC">
        <w:rPr>
          <w:rFonts w:ascii="Arial" w:hAnsi="Arial" w:cs="Arial"/>
          <w:sz w:val="22"/>
          <w:szCs w:val="22"/>
        </w:rPr>
        <w:t>GMT</w:t>
      </w:r>
      <w:r w:rsidRPr="006A61EC">
        <w:rPr>
          <w:rFonts w:ascii="Arial" w:hAnsi="Arial" w:cs="Arial"/>
          <w:b w:val="0"/>
          <w:sz w:val="22"/>
          <w:szCs w:val="22"/>
        </w:rPr>
        <w:br/>
      </w:r>
      <w:r>
        <w:rPr>
          <w:rFonts w:ascii="Arial" w:hAnsi="Arial" w:cs="Arial"/>
          <w:b w:val="0"/>
          <w:sz w:val="22"/>
          <w:szCs w:val="22"/>
        </w:rPr>
        <w:t>Comparison over the p</w:t>
      </w:r>
      <w:r w:rsidRPr="006A61EC">
        <w:rPr>
          <w:rFonts w:ascii="Arial" w:hAnsi="Arial" w:cs="Arial"/>
          <w:b w:val="0"/>
          <w:sz w:val="22"/>
          <w:szCs w:val="22"/>
        </w:rPr>
        <w:t xml:space="preserve">ast </w:t>
      </w:r>
      <w:r>
        <w:rPr>
          <w:rFonts w:ascii="Arial" w:hAnsi="Arial" w:cs="Arial"/>
          <w:b w:val="0"/>
          <w:sz w:val="22"/>
          <w:szCs w:val="22"/>
        </w:rPr>
        <w:t>m</w:t>
      </w:r>
      <w:r w:rsidRPr="006A61EC">
        <w:rPr>
          <w:rFonts w:ascii="Arial" w:hAnsi="Arial" w:cs="Arial"/>
          <w:b w:val="0"/>
          <w:sz w:val="22"/>
          <w:szCs w:val="22"/>
        </w:rPr>
        <w:t xml:space="preserve">onth, </w:t>
      </w:r>
      <w:r>
        <w:rPr>
          <w:rFonts w:ascii="Arial" w:hAnsi="Arial" w:cs="Arial"/>
          <w:b w:val="0"/>
          <w:sz w:val="22"/>
          <w:szCs w:val="22"/>
        </w:rPr>
        <w:t>t</w:t>
      </w:r>
      <w:r w:rsidRPr="006A61EC">
        <w:rPr>
          <w:rFonts w:ascii="Arial" w:hAnsi="Arial" w:cs="Arial"/>
          <w:b w:val="0"/>
          <w:sz w:val="22"/>
          <w:szCs w:val="22"/>
        </w:rPr>
        <w:t xml:space="preserve">hree </w:t>
      </w:r>
      <w:r>
        <w:rPr>
          <w:rFonts w:ascii="Arial" w:hAnsi="Arial" w:cs="Arial"/>
          <w:b w:val="0"/>
          <w:sz w:val="22"/>
          <w:szCs w:val="22"/>
        </w:rPr>
        <w:t>m</w:t>
      </w:r>
      <w:r w:rsidRPr="006A61EC">
        <w:rPr>
          <w:rFonts w:ascii="Arial" w:hAnsi="Arial" w:cs="Arial"/>
          <w:b w:val="0"/>
          <w:sz w:val="22"/>
          <w:szCs w:val="22"/>
        </w:rPr>
        <w:t xml:space="preserve">onths and </w:t>
      </w:r>
      <w:r>
        <w:rPr>
          <w:rFonts w:ascii="Arial" w:hAnsi="Arial" w:cs="Arial"/>
          <w:b w:val="0"/>
          <w:sz w:val="22"/>
          <w:szCs w:val="22"/>
        </w:rPr>
        <w:t>y</w:t>
      </w:r>
      <w:r w:rsidRPr="006A61EC">
        <w:rPr>
          <w:rFonts w:ascii="Arial" w:hAnsi="Arial" w:cs="Arial"/>
          <w:b w:val="0"/>
          <w:sz w:val="22"/>
          <w:szCs w:val="22"/>
        </w:rPr>
        <w:t>ear</w:t>
      </w:r>
    </w:p>
    <w:p w14:paraId="11A31AE8" w14:textId="77777777" w:rsidR="00902E2D" w:rsidRPr="00065E10" w:rsidRDefault="00065E10" w:rsidP="00902E2D">
      <w:pPr>
        <w:rPr>
          <w:rFonts w:asciiTheme="minorHAnsi" w:hAnsiTheme="minorHAnsi" w:cstheme="minorHAnsi"/>
          <w:noProof/>
        </w:rPr>
      </w:pPr>
      <w:r>
        <w:rPr>
          <w:noProof/>
        </w:rPr>
        <w:drawing>
          <wp:inline distT="0" distB="0" distL="0" distR="0" wp14:anchorId="6A04B42F" wp14:editId="518161B7">
            <wp:extent cx="5943600" cy="3840480"/>
            <wp:effectExtent l="0" t="0" r="0" b="0"/>
            <wp:docPr id="100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hourly_volatility_23_start_2025-09-01_end_2026-09-30_page_3.png"/>
                    <pic:cNvPicPr/>
                  </pic:nvPicPr>
                  <pic:blipFill>
                    <a:blip r:embed="rId19"/>
                    <a:stretch>
                      <a:fillRect/>
                    </a:stretch>
                  </pic:blipFill>
                  <pic:spPr>
                    <a:xfrm>
                      <a:off x="0" y="0"/>
                      <a:ext cx="5943600" cy="3840480"/>
                    </a:xfrm>
                    <a:prstGeom prst="rect">
                      <a:avLst/>
                    </a:prstGeom>
                  </pic:spPr>
                </pic:pic>
              </a:graphicData>
            </a:graphic>
          </wp:inline>
        </w:drawing>
      </w:r>
    </w:p>
    <w:p w14:paraId="394BE3D7" w14:textId="77777777" w:rsidR="00902E2D" w:rsidRDefault="00902E2D" w:rsidP="00902E2D">
      <w:pPr>
        <w:pStyle w:val="IndexHeading"/>
        <w:pBdr>
          <w:top w:val="single" w:sz="4" w:space="4" w:color="auto"/>
        </w:pBdr>
        <w:rPr>
          <w:rFonts w:ascii="Arial" w:hAnsi="Arial" w:cs="Arial"/>
          <w:b w:val="0"/>
          <w:sz w:val="22"/>
          <w:szCs w:val="22"/>
        </w:rPr>
      </w:pPr>
      <w:r w:rsidRPr="006A61EC">
        <w:rPr>
          <w:rFonts w:ascii="Arial" w:hAnsi="Arial" w:cs="Arial"/>
          <w:sz w:val="22"/>
          <w:szCs w:val="22"/>
        </w:rPr>
        <w:t>G</w:t>
      </w:r>
      <w:r w:rsidRPr="0029531E">
        <w:rPr>
          <w:rFonts w:ascii="Arial" w:hAnsi="Arial" w:cs="Arial"/>
          <w:sz w:val="22"/>
          <w:szCs w:val="22"/>
        </w:rPr>
        <w:t xml:space="preserve">-10 Currencies: Average Daily </w:t>
      </w:r>
      <w:r w:rsidR="00F50279">
        <w:rPr>
          <w:rFonts w:ascii="Arial" w:hAnsi="Arial" w:cs="Arial"/>
          <w:sz w:val="22"/>
          <w:szCs w:val="22"/>
        </w:rPr>
        <w:t>Volatility</w:t>
      </w:r>
      <w:r w:rsidRPr="0029531E">
        <w:rPr>
          <w:rFonts w:ascii="Arial" w:hAnsi="Arial" w:cs="Arial"/>
          <w:sz w:val="22"/>
          <w:szCs w:val="22"/>
        </w:rPr>
        <w:t>, 12</w:t>
      </w:r>
      <w:r>
        <w:rPr>
          <w:rFonts w:ascii="Arial" w:hAnsi="Arial" w:cs="Arial"/>
          <w:sz w:val="22"/>
          <w:szCs w:val="22"/>
        </w:rPr>
        <w:t>:00</w:t>
      </w:r>
      <w:r w:rsidRPr="0029531E">
        <w:rPr>
          <w:rFonts w:ascii="Arial" w:hAnsi="Arial" w:cs="Arial"/>
          <w:sz w:val="22"/>
          <w:szCs w:val="22"/>
        </w:rPr>
        <w:t>-</w:t>
      </w:r>
      <w:r>
        <w:rPr>
          <w:rFonts w:ascii="Arial" w:hAnsi="Arial" w:cs="Arial"/>
          <w:sz w:val="22"/>
          <w:szCs w:val="22"/>
        </w:rPr>
        <w:t>16:00</w:t>
      </w:r>
      <w:r w:rsidRPr="0029531E">
        <w:rPr>
          <w:rFonts w:ascii="Arial" w:hAnsi="Arial" w:cs="Arial"/>
          <w:sz w:val="22"/>
          <w:szCs w:val="22"/>
        </w:rPr>
        <w:t xml:space="preserve"> GMT</w:t>
      </w:r>
      <w:r w:rsidRPr="006A61EC">
        <w:rPr>
          <w:rFonts w:ascii="Arial" w:hAnsi="Arial" w:cs="Arial"/>
          <w:sz w:val="22"/>
          <w:szCs w:val="22"/>
        </w:rPr>
        <w:br/>
      </w:r>
      <w:r w:rsidR="002B6D12">
        <w:rPr>
          <w:rFonts w:ascii="Arial" w:hAnsi="Arial" w:cs="Arial"/>
          <w:b w:val="0"/>
          <w:sz w:val="22"/>
          <w:szCs w:val="22"/>
        </w:rPr>
        <w:t>September 2025-September 2026</w:t>
      </w:r>
    </w:p>
    <w:p w14:paraId="2F70735E" w14:textId="77777777" w:rsidR="0085632F" w:rsidRPr="0085632F" w:rsidRDefault="0085632F" w:rsidP="0085632F">
      <w:pPr>
        <w:pStyle w:val="Index1"/>
        <w:framePr w:wrap="around"/>
      </w:pPr>
    </w:p>
    <w:p w14:paraId="0806A2D6" w14:textId="77777777" w:rsidR="0085632F" w:rsidRDefault="0085632F">
      <w:pPr>
        <w:spacing w:before="0"/>
        <w:rPr>
          <w:noProof/>
        </w:rPr>
      </w:pPr>
    </w:p>
    <w:p w14:paraId="130BC764" w14:textId="77777777" w:rsidR="00170D42" w:rsidRDefault="00F53463">
      <w:pPr>
        <w:spacing w:before="0"/>
        <w:rPr>
          <w:noProof/>
        </w:rPr>
      </w:pPr>
      <w:r>
        <w:rPr>
          <w:noProof/>
        </w:rPr>
        <w:drawing>
          <wp:inline distT="0" distB="0" distL="0" distR="0" wp14:anchorId="6B8E7FDF" wp14:editId="54CC7869">
            <wp:extent cx="5943600" cy="3840480"/>
            <wp:effectExtent l="0" t="0" r="0" b="0"/>
            <wp:docPr id="10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daily_daily_spread_23_start_2025-09-01_end_2026-09-30_page_1.png"/>
                    <pic:cNvPicPr/>
                  </pic:nvPicPr>
                  <pic:blipFill>
                    <a:blip r:embed="rId20"/>
                    <a:stretch>
                      <a:fillRect/>
                    </a:stretch>
                  </pic:blipFill>
                  <pic:spPr>
                    <a:xfrm>
                      <a:off x="0" y="0"/>
                      <a:ext cx="5943600" cy="3840480"/>
                    </a:xfrm>
                    <a:prstGeom prst="rect">
                      <a:avLst/>
                    </a:prstGeom>
                  </pic:spPr>
                </pic:pic>
              </a:graphicData>
            </a:graphic>
          </wp:inline>
        </w:drawing>
      </w:r>
    </w:p>
    <w:p w14:paraId="5A6368C4" w14:textId="77777777" w:rsidR="00A20896" w:rsidRDefault="00170D42">
      <w:pPr>
        <w:spacing w:before="0"/>
        <w:rPr>
          <w:noProof/>
        </w:rPr>
      </w:pPr>
      <w:r>
        <w:rPr>
          <w:noProof/>
        </w:rPr>
        <w:br w:type="page"/>
      </w:r>
      <w:r>
        <w:rPr>
          <w:noProof/>
        </w:rPr>
        <w:lastRenderedPageBreak/>
        <w:drawing>
          <wp:inline distT="0" distB="0" distL="0" distR="0" wp14:anchorId="5EA80304" wp14:editId="73E68896">
            <wp:extent cx="5673725" cy="8292367"/>
            <wp:effectExtent l="0" t="0" r="3175" b="0"/>
            <wp:docPr id="15394153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daily_daily_spread_23_start_2025-09-01_end_2026-09-30_page_2.png"/>
                    <pic:cNvPicPr/>
                  </pic:nvPicPr>
                  <pic:blipFill>
                    <a:blip r:embed="rId21"/>
                    <a:stretch>
                      <a:fillRect/>
                    </a:stretch>
                  </pic:blipFill>
                  <pic:spPr>
                    <a:xfrm>
                      <a:off x="0" y="0"/>
                      <a:ext cx="5673725" cy="8292367"/>
                    </a:xfrm>
                    <a:prstGeom prst="rect">
                      <a:avLst/>
                    </a:prstGeom>
                  </pic:spPr>
                </pic:pic>
              </a:graphicData>
            </a:graphic>
          </wp:inline>
        </w:drawing>
      </w:r>
    </w:p>
    <w:p w14:paraId="35E5C42C" w14:textId="77777777" w:rsidR="00A20896" w:rsidRDefault="00A20896">
      <w:pPr>
        <w:spacing w:before="0"/>
        <w:rPr>
          <w:noProof/>
        </w:rPr>
      </w:pPr>
      <w:r>
        <w:rPr>
          <w:noProof/>
        </w:rPr>
        <w:br w:type="page"/>
      </w:r>
    </w:p>
    <w:p w14:paraId="2095BED5" w14:textId="5A99132B" w:rsidR="00424BB0" w:rsidRDefault="00A20896" w:rsidP="00424BB0">
      <w:pPr>
        <w:pStyle w:val="IndexHeading"/>
        <w:pBdr>
          <w:top w:val="single" w:sz="4" w:space="4" w:color="auto"/>
        </w:pBdr>
        <w:spacing w:before="0"/>
        <w:rPr>
          <w:rFonts w:ascii="Arial" w:hAnsi="Arial" w:cs="Arial"/>
          <w:b w:val="0"/>
          <w:sz w:val="22"/>
          <w:szCs w:val="22"/>
        </w:rPr>
      </w:pPr>
      <w:r w:rsidRPr="006A61EC">
        <w:rPr>
          <w:rFonts w:ascii="Arial" w:hAnsi="Arial" w:cs="Arial"/>
          <w:sz w:val="22"/>
          <w:szCs w:val="22"/>
        </w:rPr>
        <w:lastRenderedPageBreak/>
        <w:t xml:space="preserve">Scandinavian G-10 Currencies: Average </w:t>
      </w:r>
      <w:r>
        <w:rPr>
          <w:rFonts w:ascii="Arial" w:hAnsi="Arial" w:cs="Arial"/>
          <w:sz w:val="22"/>
          <w:szCs w:val="22"/>
        </w:rPr>
        <w:t>Daily</w:t>
      </w:r>
      <w:r w:rsidRPr="006A61EC">
        <w:rPr>
          <w:rFonts w:ascii="Arial" w:hAnsi="Arial" w:cs="Arial"/>
          <w:sz w:val="22"/>
          <w:szCs w:val="22"/>
        </w:rPr>
        <w:t xml:space="preserve"> </w:t>
      </w:r>
      <w:r>
        <w:rPr>
          <w:rFonts w:ascii="Arial" w:hAnsi="Arial" w:cs="Arial"/>
          <w:sz w:val="22"/>
          <w:szCs w:val="22"/>
        </w:rPr>
        <w:t>Volatility</w:t>
      </w:r>
      <w:r w:rsidRPr="006A61EC">
        <w:rPr>
          <w:rFonts w:ascii="Arial" w:hAnsi="Arial" w:cs="Arial"/>
          <w:sz w:val="22"/>
          <w:szCs w:val="22"/>
        </w:rPr>
        <w:t xml:space="preserve">, </w:t>
      </w:r>
      <w:r>
        <w:rPr>
          <w:rFonts w:ascii="Arial" w:hAnsi="Arial" w:cs="Arial"/>
          <w:sz w:val="22"/>
          <w:szCs w:val="22"/>
        </w:rPr>
        <w:t>12:00</w:t>
      </w:r>
      <w:r w:rsidRPr="006A61EC">
        <w:rPr>
          <w:rFonts w:ascii="Arial" w:hAnsi="Arial" w:cs="Arial"/>
          <w:sz w:val="22"/>
          <w:szCs w:val="22"/>
        </w:rPr>
        <w:t>-</w:t>
      </w:r>
      <w:r>
        <w:rPr>
          <w:rFonts w:ascii="Arial" w:hAnsi="Arial" w:cs="Arial"/>
          <w:sz w:val="22"/>
          <w:szCs w:val="22"/>
        </w:rPr>
        <w:t xml:space="preserve">16:00 </w:t>
      </w:r>
      <w:r w:rsidRPr="006A61EC">
        <w:rPr>
          <w:rFonts w:ascii="Arial" w:hAnsi="Arial" w:cs="Arial"/>
          <w:sz w:val="22"/>
          <w:szCs w:val="22"/>
        </w:rPr>
        <w:t>GMT</w:t>
      </w:r>
      <w:r w:rsidRPr="006A61EC">
        <w:rPr>
          <w:rFonts w:ascii="Arial" w:hAnsi="Arial" w:cs="Arial"/>
          <w:b w:val="0"/>
          <w:sz w:val="22"/>
          <w:szCs w:val="22"/>
        </w:rPr>
        <w:br/>
      </w:r>
      <w:r>
        <w:rPr>
          <w:rFonts w:ascii="Arial" w:hAnsi="Arial" w:cs="Arial"/>
          <w:b w:val="0"/>
          <w:sz w:val="22"/>
          <w:szCs w:val="22"/>
        </w:rPr>
        <w:t>September 2025-September 2026</w:t>
      </w:r>
    </w:p>
    <w:p w14:paraId="2A61E661" w14:textId="77777777" w:rsidR="00902E2D" w:rsidRDefault="00902E2D" w:rsidP="00902E2D">
      <w:pPr>
        <w:pStyle w:val="Index1"/>
        <w:framePr w:wrap="around"/>
      </w:pPr>
    </w:p>
    <w:p w14:paraId="08CFF161" w14:textId="77777777" w:rsidR="00E4013E" w:rsidRPr="00F53463" w:rsidRDefault="00F53463" w:rsidP="00B177DD">
      <w:r>
        <w:rPr>
          <w:noProof/>
        </w:rPr>
        <w:drawing>
          <wp:inline distT="0" distB="0" distL="0" distR="0" wp14:anchorId="58DCCFAB" wp14:editId="2A17BA39">
            <wp:extent cx="5943600" cy="3840480"/>
            <wp:effectExtent l="0" t="0" r="0" b="0"/>
            <wp:docPr id="10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x_daily_daily_spread_23_start_2025-09-01_end_2026-09-30_page_3.png"/>
                    <pic:cNvPicPr/>
                  </pic:nvPicPr>
                  <pic:blipFill>
                    <a:blip r:embed="rId22"/>
                    <a:stretch>
                      <a:fillRect/>
                    </a:stretch>
                  </pic:blipFill>
                  <pic:spPr>
                    <a:xfrm>
                      <a:off x="0" y="0"/>
                      <a:ext cx="5943600" cy="3840480"/>
                    </a:xfrm>
                    <a:prstGeom prst="rect">
                      <a:avLst/>
                    </a:prstGeom>
                  </pic:spPr>
                </pic:pic>
              </a:graphicData>
            </a:graphic>
          </wp:inline>
        </w:drawing>
      </w:r>
    </w:p>
    <w:p w14:paraId="2C6BDD6C" w14:textId="77777777" w:rsidR="00E4013E" w:rsidRDefault="00E4013E" w:rsidP="00B177DD">
      <w:pPr>
        <w:rPr>
          <w:rFonts w:asciiTheme="minorHAnsi" w:hAnsiTheme="minorHAnsi" w:cstheme="minorHAnsi"/>
          <w:noProof/>
          <w:sz w:val="22"/>
          <w:szCs w:val="22"/>
        </w:rPr>
      </w:pPr>
    </w:p>
    <w:p w14:paraId="411A4124" w14:textId="77777777" w:rsidR="00595256" w:rsidRDefault="008E5F02" w:rsidP="0046034D">
      <w:pPr>
        <w:widowControl w:val="0"/>
        <w:autoSpaceDE w:val="0"/>
        <w:autoSpaceDN w:val="0"/>
        <w:adjustRightInd w:val="0"/>
        <w:spacing w:before="0" w:after="80"/>
        <w:rPr>
          <w:rFonts w:ascii="Arial" w:hAnsi="Arial" w:cs="Arial"/>
          <w:color w:val="00948B"/>
          <w:szCs w:val="20"/>
        </w:rPr>
      </w:pPr>
      <w:r w:rsidRPr="00795207">
        <w:rPr>
          <w:rFonts w:ascii="Arial" w:hAnsi="Arial" w:cs="Arial"/>
          <w:b/>
          <w:color w:val="000000" w:themeColor="text1"/>
          <w:sz w:val="22"/>
          <w:szCs w:val="22"/>
        </w:rPr>
        <w:t>Have questions?</w:t>
      </w:r>
      <w:r w:rsidRPr="00795207">
        <w:rPr>
          <w:rFonts w:ascii="Arial" w:hAnsi="Arial" w:cs="Arial"/>
          <w:color w:val="000000" w:themeColor="text1"/>
          <w:sz w:val="22"/>
          <w:szCs w:val="22"/>
        </w:rPr>
        <w:t xml:space="preserve"> </w:t>
      </w:r>
      <w:r w:rsidR="00E2278B" w:rsidRPr="00795207">
        <w:rPr>
          <w:rFonts w:ascii="Arial" w:hAnsi="Arial" w:cs="Arial"/>
          <w:color w:val="000000" w:themeColor="text1"/>
          <w:sz w:val="22"/>
          <w:szCs w:val="22"/>
        </w:rPr>
        <w:t xml:space="preserve">To learn more, contact your </w:t>
      </w:r>
      <w:r w:rsidR="00526E73" w:rsidRPr="00795207">
        <w:rPr>
          <w:rFonts w:ascii="Arial" w:hAnsi="Arial" w:cs="Arial"/>
          <w:color w:val="000000" w:themeColor="text1"/>
          <w:sz w:val="22"/>
          <w:szCs w:val="22"/>
        </w:rPr>
        <w:t xml:space="preserve">regional </w:t>
      </w:r>
      <w:r w:rsidRPr="00795207">
        <w:rPr>
          <w:rFonts w:ascii="Arial" w:hAnsi="Arial" w:cs="Arial"/>
          <w:color w:val="000000" w:themeColor="text1"/>
          <w:sz w:val="22"/>
          <w:szCs w:val="22"/>
        </w:rPr>
        <w:t>Virtu Analytics representative.</w:t>
      </w:r>
      <w:r w:rsidR="00526E73" w:rsidRPr="00795207">
        <w:rPr>
          <w:rFonts w:ascii="Arial" w:hAnsi="Arial" w:cs="Arial"/>
          <w:b/>
          <w:bCs/>
          <w:color w:val="000000" w:themeColor="text1"/>
          <w:sz w:val="22"/>
          <w:szCs w:val="22"/>
        </w:rPr>
        <w:t xml:space="preserve"> </w:t>
      </w:r>
      <w:r w:rsidRPr="00795207">
        <w:rPr>
          <w:rFonts w:ascii="Arial" w:hAnsi="Arial" w:cs="Arial"/>
          <w:b/>
          <w:bCs/>
          <w:color w:val="000000" w:themeColor="text1"/>
          <w:sz w:val="22"/>
          <w:szCs w:val="22"/>
        </w:rPr>
        <w:t>AMER</w:t>
      </w:r>
      <w:r w:rsidR="00526E73" w:rsidRPr="00795207">
        <w:rPr>
          <w:rFonts w:ascii="Arial" w:hAnsi="Arial" w:cs="Arial"/>
          <w:b/>
          <w:bCs/>
          <w:color w:val="000000" w:themeColor="text1"/>
          <w:sz w:val="22"/>
          <w:szCs w:val="22"/>
        </w:rPr>
        <w:t>ICAS</w:t>
      </w:r>
      <w:r w:rsidR="00526E73" w:rsidRPr="00795207">
        <w:rPr>
          <w:rFonts w:ascii="Arial" w:hAnsi="Arial" w:cs="Arial"/>
          <w:color w:val="000000" w:themeColor="text1"/>
          <w:sz w:val="22"/>
          <w:szCs w:val="22"/>
        </w:rPr>
        <w:t xml:space="preserve"> </w:t>
      </w:r>
      <w:r w:rsidRPr="00795207">
        <w:rPr>
          <w:rFonts w:ascii="Arial" w:hAnsi="Arial" w:cs="Arial"/>
          <w:color w:val="000000" w:themeColor="text1"/>
          <w:sz w:val="22"/>
          <w:szCs w:val="22"/>
        </w:rPr>
        <w:t xml:space="preserve">+1.866.265.4519 </w:t>
      </w:r>
      <w:r w:rsidR="00E2278B" w:rsidRPr="00795207">
        <w:rPr>
          <w:rFonts w:ascii="Arial" w:hAnsi="Arial" w:cs="Arial"/>
          <w:color w:val="000000" w:themeColor="text1"/>
          <w:sz w:val="22"/>
          <w:szCs w:val="22"/>
        </w:rPr>
        <w:t xml:space="preserve">| </w:t>
      </w:r>
      <w:r w:rsidRPr="00795207">
        <w:rPr>
          <w:rFonts w:ascii="Arial" w:hAnsi="Arial" w:cs="Arial"/>
          <w:b/>
          <w:bCs/>
          <w:color w:val="000000" w:themeColor="text1"/>
          <w:sz w:val="22"/>
          <w:szCs w:val="22"/>
        </w:rPr>
        <w:t>APAC</w:t>
      </w:r>
      <w:r w:rsidRPr="00795207">
        <w:rPr>
          <w:rFonts w:ascii="Arial" w:hAnsi="Arial" w:cs="Arial"/>
          <w:color w:val="000000" w:themeColor="text1"/>
          <w:sz w:val="22"/>
          <w:szCs w:val="22"/>
        </w:rPr>
        <w:t xml:space="preserve"> +852.3405.3755 </w:t>
      </w:r>
      <w:r w:rsidR="00E2278B" w:rsidRPr="00795207">
        <w:rPr>
          <w:rFonts w:ascii="Arial" w:hAnsi="Arial" w:cs="Arial"/>
          <w:color w:val="000000" w:themeColor="text1"/>
          <w:sz w:val="22"/>
          <w:szCs w:val="22"/>
        </w:rPr>
        <w:t xml:space="preserve">| </w:t>
      </w:r>
      <w:r w:rsidR="00E2278B" w:rsidRPr="00795207">
        <w:rPr>
          <w:rFonts w:ascii="Arial" w:hAnsi="Arial" w:cs="Arial"/>
          <w:b/>
          <w:bCs/>
          <w:color w:val="000000" w:themeColor="text1"/>
          <w:sz w:val="22"/>
          <w:szCs w:val="22"/>
        </w:rPr>
        <w:t>EMEA</w:t>
      </w:r>
      <w:r w:rsidR="00E2278B" w:rsidRPr="00795207">
        <w:rPr>
          <w:rFonts w:ascii="Arial" w:hAnsi="Arial" w:cs="Arial"/>
          <w:color w:val="000000" w:themeColor="text1"/>
          <w:sz w:val="22"/>
          <w:szCs w:val="22"/>
        </w:rPr>
        <w:t xml:space="preserve"> </w:t>
      </w:r>
      <w:r w:rsidRPr="00795207">
        <w:rPr>
          <w:rFonts w:ascii="Arial" w:hAnsi="Arial" w:cs="Arial"/>
          <w:color w:val="000000" w:themeColor="text1"/>
          <w:sz w:val="22"/>
          <w:szCs w:val="22"/>
        </w:rPr>
        <w:t>+44.20.7670</w:t>
      </w:r>
      <w:r w:rsidR="00D46FAD">
        <w:rPr>
          <w:rFonts w:ascii="Arial" w:hAnsi="Arial" w:cs="Arial"/>
          <w:color w:val="000000" w:themeColor="text1"/>
          <w:sz w:val="22"/>
          <w:szCs w:val="22"/>
        </w:rPr>
        <w:t>.4000</w:t>
      </w:r>
      <w:r w:rsidRPr="00795207">
        <w:rPr>
          <w:rFonts w:ascii="Arial" w:hAnsi="Arial" w:cs="Arial"/>
          <w:color w:val="000000" w:themeColor="text1"/>
          <w:sz w:val="22"/>
          <w:szCs w:val="22"/>
        </w:rPr>
        <w:br/>
      </w:r>
      <w:hyperlink r:id="rId23" w:history="1">
        <w:r w:rsidRPr="00795207">
          <w:rPr>
            <w:rStyle w:val="Hyperlink"/>
            <w:rFonts w:ascii="Arial" w:hAnsi="Arial" w:cs="Arial"/>
            <w:color w:val="00948B"/>
            <w:sz w:val="22"/>
            <w:szCs w:val="22"/>
            <w:u w:val="none"/>
          </w:rPr>
          <w:t>analytics@virtu.com</w:t>
        </w:r>
      </w:hyperlink>
      <w:r w:rsidR="00E2278B" w:rsidRPr="00795207">
        <w:rPr>
          <w:rFonts w:ascii="Arial" w:hAnsi="Arial" w:cs="Arial"/>
          <w:color w:val="000000" w:themeColor="text1"/>
          <w:sz w:val="22"/>
          <w:szCs w:val="22"/>
        </w:rPr>
        <w:t xml:space="preserve"> | </w:t>
      </w:r>
      <w:hyperlink r:id="rId24" w:history="1">
        <w:r w:rsidR="00E2278B" w:rsidRPr="00795207">
          <w:rPr>
            <w:rFonts w:ascii="Arial" w:hAnsi="Arial" w:cs="Arial"/>
            <w:color w:val="00948B"/>
            <w:sz w:val="22"/>
            <w:szCs w:val="22"/>
            <w:u w:color="0000E9"/>
          </w:rPr>
          <w:t>www.virtu.com</w:t>
        </w:r>
      </w:hyperlink>
      <w:r w:rsidR="00E2278B" w:rsidRPr="008E5F02">
        <w:rPr>
          <w:rFonts w:ascii="Arial" w:hAnsi="Arial" w:cs="Arial"/>
          <w:color w:val="00948B"/>
          <w:szCs w:val="20"/>
        </w:rPr>
        <w:t xml:space="preserve"> </w:t>
      </w:r>
    </w:p>
    <w:p w14:paraId="2741D1CE" w14:textId="77777777" w:rsidR="00424BB0" w:rsidRDefault="00791862" w:rsidP="0046034D">
      <w:pPr>
        <w:widowControl w:val="0"/>
        <w:autoSpaceDE w:val="0"/>
        <w:autoSpaceDN w:val="0"/>
        <w:adjustRightInd w:val="0"/>
        <w:spacing w:before="0" w:after="80"/>
        <w:rPr>
          <w:rFonts w:ascii="Arial" w:hAnsi="Arial" w:cs="Arial"/>
          <w:color w:val="00948B"/>
          <w:szCs w:val="20"/>
        </w:rPr>
      </w:pPr>
      <w:r w:rsidRPr="00795207">
        <w:rPr>
          <w:rFonts w:ascii="Arial" w:hAnsi="Arial" w:cs="Arial"/>
          <w:noProof/>
          <w:sz w:val="22"/>
          <w:szCs w:val="22"/>
        </w:rPr>
        <mc:AlternateContent>
          <mc:Choice Requires="wps">
            <w:drawing>
              <wp:anchor distT="0" distB="0" distL="114300" distR="114300" simplePos="0" relativeHeight="251662336" behindDoc="0" locked="0" layoutInCell="1" allowOverlap="1" wp14:anchorId="4C0C31F5" wp14:editId="56D5DFFB">
                <wp:simplePos x="0" y="0"/>
                <wp:positionH relativeFrom="margin">
                  <wp:align>center</wp:align>
                </wp:positionH>
                <wp:positionV relativeFrom="margin">
                  <wp:align>bottom</wp:align>
                </wp:positionV>
                <wp:extent cx="6181725" cy="2375535"/>
                <wp:effectExtent l="0" t="0" r="0" b="5715"/>
                <wp:wrapTopAndBottom/>
                <wp:docPr id="10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1725" cy="2375535"/>
                        </a:xfrm>
                        <a:prstGeom prst="rect">
                          <a:avLst/>
                        </a:prstGeom>
                        <a:noFill/>
                        <a:ln>
                          <a:noFill/>
                        </a:ln>
                        <a:effectLst/>
                        <a:extLst>
                          <a:ext uri="{FAA26D3D-D897-4be2-8F04-BA451C77F1D7}">
                            <ma14:placeholderFlag xmlns:ma14="http://schemas.microsoft.com/office/mac/drawingml/2011/main" xmlns:mv="urn:schemas-microsoft-com:mac:vml" xmlns:mo="http://schemas.microsoft.com/office/mac/office/2008/main" xmlns="" xmlns:arto="http://schemas.microsoft.com/office/word/2006/arto" xmlns:w="http://schemas.openxmlformats.org/wordprocessingml/2006/main" xmlns:w10="urn:schemas-microsoft-com:office:word" xmlns:v="urn:schemas-microsoft-com:vml" xmlns:o="urn:schemas-microsoft-com:office:office"/>
                          </a:ext>
                          <a:ext uri="{C572A759-6A51-4108-AA02-DFA0A04FC94B}">
                            <ma14:wrappingTextBoxFlag xmlns:ma14="http://schemas.microsoft.com/office/mac/drawingml/2011/main" xmlns:mv="urn:schemas-microsoft-com:mac:vml" xmlns:mo="http://schemas.microsoft.com/office/mac/office/2008/main" xmlns="" xmlns:arto="http://schemas.microsoft.com/office/word/2006/arto" xmlns:w="http://schemas.openxmlformats.org/wordprocessingml/2006/main" xmlns:w10="urn:schemas-microsoft-com:office:word" xmlns:v="urn:schemas-microsoft-com:vml" xmlns:o="urn:schemas-microsoft-com:office:office"/>
                          </a:ext>
                        </a:extLst>
                      </wps:spPr>
                      <wps:txbx>
                        <w:txbxContent>
                          <w:p w14:paraId="2D117BD4" w14:textId="77777777" w:rsidR="00EA5191" w:rsidRPr="00194902" w:rsidRDefault="00EA5191" w:rsidP="0046034D">
                            <w:pPr>
                              <w:pStyle w:val="Footer"/>
                              <w:rPr>
                                <w:rFonts w:ascii="Arial" w:hAnsi="Arial" w:cs="Arial"/>
                                <w:color w:val="616365"/>
                                <w:sz w:val="16"/>
                                <w:szCs w:val="12"/>
                              </w:rPr>
                            </w:pPr>
                            <w:r w:rsidRPr="00194902">
                              <w:rPr>
                                <w:rFonts w:ascii="Arial" w:hAnsi="Arial" w:cs="Arial"/>
                                <w:color w:val="616365"/>
                                <w:sz w:val="16"/>
                                <w:szCs w:val="12"/>
                              </w:rPr>
                              <w:t xml:space="preserve">© </w:t>
                            </w:r>
                            <w:r w:rsidR="00C766A2">
                              <w:rPr>
                                <w:rFonts w:ascii="Arial" w:hAnsi="Arial" w:cs="Arial"/>
                                <w:color w:val="616365"/>
                                <w:sz w:val="16"/>
                                <w:szCs w:val="12"/>
                              </w:rPr>
                              <w:t>2026</w:t>
                            </w:r>
                            <w:r w:rsidRPr="00194902">
                              <w:rPr>
                                <w:rFonts w:ascii="Arial" w:hAnsi="Arial" w:cs="Arial"/>
                                <w:color w:val="616365"/>
                                <w:sz w:val="16"/>
                                <w:szCs w:val="12"/>
                              </w:rPr>
                              <w:t xml:space="preserve"> Virtu Financial, Inc. All rights reserved. Not to be reproduced or retransmitted without permission. These materials are for informational purposes and are not intended to be used to make trading or investment decisions, they are not intended as an offer to sell or the solicitation of an offer to buy any security or financial product, and are not intended as advice (investment, tax or legal). The information contained herein includes Virtu proprietary information and/or has been taken from sources we believe to be reliable, but we do not represent or warrant that such information is accurate or complete and it should not be relied upon as such.</w:t>
                            </w:r>
                          </w:p>
                          <w:p w14:paraId="12C83E1F" w14:textId="77777777" w:rsidR="00EA5191" w:rsidRPr="00194902" w:rsidRDefault="00EA5191" w:rsidP="0046034D">
                            <w:pPr>
                              <w:pStyle w:val="Footer"/>
                              <w:rPr>
                                <w:rFonts w:ascii="Arial" w:hAnsi="Arial" w:cs="Arial"/>
                                <w:color w:val="616365"/>
                                <w:sz w:val="16"/>
                                <w:szCs w:val="12"/>
                              </w:rPr>
                            </w:pPr>
                            <w:r w:rsidRPr="00194902">
                              <w:rPr>
                                <w:rFonts w:ascii="Arial" w:hAnsi="Arial" w:cs="Arial"/>
                                <w:color w:val="616365"/>
                                <w:sz w:val="16"/>
                                <w:szCs w:val="12"/>
                              </w:rPr>
                              <w:t xml:space="preserve">Analytics products and services referenced herein </w:t>
                            </w:r>
                            <w:r w:rsidR="005B25FB">
                              <w:rPr>
                                <w:rFonts w:ascii="Arial" w:hAnsi="Arial" w:cs="Arial"/>
                                <w:color w:val="616365"/>
                                <w:sz w:val="16"/>
                                <w:szCs w:val="12"/>
                              </w:rPr>
                              <w:t>may</w:t>
                            </w:r>
                            <w:r w:rsidR="005B25FB" w:rsidRPr="00194902">
                              <w:rPr>
                                <w:rFonts w:ascii="Arial" w:hAnsi="Arial" w:cs="Arial"/>
                                <w:color w:val="616365"/>
                                <w:sz w:val="16"/>
                                <w:szCs w:val="12"/>
                              </w:rPr>
                              <w:t xml:space="preserve"> </w:t>
                            </w:r>
                            <w:r w:rsidRPr="00194902">
                              <w:rPr>
                                <w:rFonts w:ascii="Arial" w:hAnsi="Arial" w:cs="Arial"/>
                                <w:color w:val="616365"/>
                                <w:sz w:val="16"/>
                                <w:szCs w:val="12"/>
                              </w:rPr>
                              <w:t>not be subject to oversight by regulatory authorities in one or more jurisdictions, including in Europe</w:t>
                            </w:r>
                            <w:r w:rsidR="00A4292D" w:rsidRPr="00A4292D">
                              <w:rPr>
                                <w:rFonts w:ascii="Arial" w:hAnsi="Arial" w:cs="Arial"/>
                                <w:color w:val="616365"/>
                                <w:sz w:val="16"/>
                                <w:szCs w:val="12"/>
                              </w:rPr>
                              <w:t>, Hong Kong or Australia</w:t>
                            </w:r>
                            <w:r w:rsidRPr="00194902">
                              <w:rPr>
                                <w:rFonts w:ascii="Arial" w:hAnsi="Arial" w:cs="Arial"/>
                                <w:color w:val="616365"/>
                                <w:sz w:val="16"/>
                                <w:szCs w:val="12"/>
                              </w:rPr>
                              <w:t>, where such products and services are offered by Virtu ITG Ventures Limited, registered in Ireland No. 295549 (“VIVL”)</w:t>
                            </w:r>
                            <w:r w:rsidR="00A4292D" w:rsidRPr="00A4292D">
                              <w:rPr>
                                <w:rFonts w:ascii="Arial" w:hAnsi="Arial" w:cs="Arial"/>
                                <w:color w:val="616365"/>
                                <w:sz w:val="16"/>
                                <w:szCs w:val="12"/>
                              </w:rPr>
                              <w:t>, Virtu ITG Hong Kong Limited</w:t>
                            </w:r>
                            <w:r w:rsidR="00A4292D">
                              <w:rPr>
                                <w:rFonts w:ascii="Arial" w:hAnsi="Arial" w:cs="Arial"/>
                                <w:color w:val="616365"/>
                                <w:sz w:val="16"/>
                                <w:szCs w:val="12"/>
                              </w:rPr>
                              <w:t xml:space="preserve"> registered in </w:t>
                            </w:r>
                            <w:r w:rsidR="00A4292D" w:rsidRPr="00A4292D">
                              <w:rPr>
                                <w:rFonts w:ascii="Arial" w:hAnsi="Arial" w:cs="Arial"/>
                                <w:color w:val="616365"/>
                                <w:sz w:val="16"/>
                                <w:szCs w:val="12"/>
                              </w:rPr>
                              <w:t>Hong Kong CE No. AHD810 (“VIHK”) or Virtu ITG Australia Limited</w:t>
                            </w:r>
                            <w:r w:rsidR="00A4292D">
                              <w:rPr>
                                <w:rFonts w:ascii="Arial" w:hAnsi="Arial" w:cs="Arial"/>
                                <w:color w:val="616365"/>
                                <w:sz w:val="16"/>
                                <w:szCs w:val="12"/>
                              </w:rPr>
                              <w:t xml:space="preserve">, registered in </w:t>
                            </w:r>
                            <w:r w:rsidR="00A4292D" w:rsidRPr="00A4292D">
                              <w:rPr>
                                <w:rFonts w:ascii="Arial" w:hAnsi="Arial" w:cs="Arial"/>
                                <w:color w:val="616365"/>
                                <w:sz w:val="16"/>
                                <w:szCs w:val="12"/>
                              </w:rPr>
                              <w:t>Australia AFSL No. 219582 (“VIAU”)</w:t>
                            </w:r>
                            <w:r w:rsidRPr="00194902">
                              <w:rPr>
                                <w:rFonts w:ascii="Arial" w:hAnsi="Arial" w:cs="Arial"/>
                                <w:color w:val="616365"/>
                                <w:sz w:val="16"/>
                                <w:szCs w:val="12"/>
                              </w:rPr>
                              <w:t xml:space="preserve">. VIVL does not engage in regulated activity. </w:t>
                            </w:r>
                          </w:p>
                          <w:p w14:paraId="2703F764" w14:textId="77777777" w:rsidR="00C479DB" w:rsidRPr="00C479DB" w:rsidRDefault="00C479DB" w:rsidP="00C479DB">
                            <w:pPr>
                              <w:rPr>
                                <w:rFonts w:ascii="Arial" w:hAnsi="Arial" w:cs="Arial"/>
                                <w:color w:val="616365"/>
                                <w:sz w:val="16"/>
                                <w:szCs w:val="12"/>
                              </w:rPr>
                            </w:pPr>
                            <w:r w:rsidRPr="00C479DB">
                              <w:rPr>
                                <w:rFonts w:ascii="Arial" w:hAnsi="Arial" w:cs="Arial"/>
                                <w:color w:val="616365"/>
                                <w:sz w:val="16"/>
                                <w:szCs w:val="12"/>
                              </w:rPr>
                              <w:t>Securities products and services are offered by the following subsidiaries of Virtu Financial, Inc. In the U.S., Virtu Americas LLC, member FINRA and SIPC; in Canada, Virtu Canada Corp., member Canadian Investor Protection Fund and Canadian Investment Regulatory Organization; in Europe, Virtu Europe Trading Limited, registered in Ireland No. 283940 (“VETL”) (VETL is authorized and regulated by the Central Bank of Ireland), and Virtu Financial Ireland Limited, registered in Ireland No. 471719 (“VFIL”) (VFIL is authorized and regulated by the Central Bank of Ireland). The registered office of VETL and VFIL is North Dock One, Fifth Floor, 91-92 North Wall Quay, Dublin 1, Ireland, D01 H7V7; in Asia, Virtu ITG Hong Kong Limited (SFC License No. AHD810), Virtu ITG Singapore Pte Limited (CMS License No. 100138-1), and Virtu ITG Australia Limited (AFS License No. 219582).</w:t>
                            </w:r>
                          </w:p>
                          <w:p w14:paraId="5E367FC8" w14:textId="77777777" w:rsidR="00EA5191" w:rsidRPr="00194902" w:rsidRDefault="00EA5191" w:rsidP="00C479DB">
                            <w:pPr>
                              <w:pStyle w:val="Footer"/>
                              <w:rPr>
                                <w:rFonts w:ascii="Arial" w:hAnsi="Arial" w:cs="Arial"/>
                                <w:color w:val="616365"/>
                                <w:sz w:val="16"/>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0C31F5" id="_x0000_t202" coordsize="21600,21600" o:spt="202" path="m,l,21600r21600,l21600,xe">
                <v:stroke joinstyle="miter"/>
                <v:path gradientshapeok="t" o:connecttype="rect"/>
              </v:shapetype>
              <v:shape id="Text Box 1" o:spid="_x0000_s1026" type="#_x0000_t202" style="position:absolute;margin-left:0;margin-top:0;width:486.75pt;height:187.05pt;z-index:251662336;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" filled="f" stroked="f">
                <v:textbox>
                  <w:txbxContent>
                    <w:p w14:paraId="2D117BD4" w14:textId="77777777" w:rsidR="00EA5191" w:rsidRPr="00194902" w:rsidRDefault="00EA5191" w:rsidP="0046034D">
                      <w:pPr>
                        <w:pStyle w:val="Footer"/>
                        <w:rPr>
                          <w:rFonts w:ascii="Arial" w:hAnsi="Arial" w:cs="Arial"/>
                          <w:color w:val="616365"/>
                          <w:sz w:val="16"/>
                          <w:szCs w:val="12"/>
                        </w:rPr>
                      </w:pPr>
                      <w:r w:rsidRPr="00194902">
                        <w:rPr>
                          <w:rFonts w:ascii="Arial" w:hAnsi="Arial" w:cs="Arial"/>
                          <w:color w:val="616365"/>
                          <w:sz w:val="16"/>
                          <w:szCs w:val="12"/>
                        </w:rPr>
                        <w:t xml:space="preserve">© </w:t>
                      </w:r>
                      <w:r w:rsidR="00C766A2">
                        <w:rPr>
                          <w:rFonts w:ascii="Arial" w:hAnsi="Arial" w:cs="Arial"/>
                          <w:color w:val="616365"/>
                          <w:sz w:val="16"/>
                          <w:szCs w:val="12"/>
                        </w:rPr>
                        <w:t>2026</w:t>
                      </w:r>
                      <w:r w:rsidRPr="00194902">
                        <w:rPr>
                          <w:rFonts w:ascii="Arial" w:hAnsi="Arial" w:cs="Arial"/>
                          <w:color w:val="616365"/>
                          <w:sz w:val="16"/>
                          <w:szCs w:val="12"/>
                        </w:rPr>
                        <w:t xml:space="preserve"> Virtu Financial, Inc. All rights reserved. Not to be reproduced or retransmitted without permission. These materials are for informational purposes and are not intended to be used to make trading or investment decisions, they are not intended as an offer to sell or the solicitation of an offer to buy any security or financial product, and are not intended as advice (investment, tax or legal). The information contained herein includes Virtu proprietary information and/or has been taken from sources we believe to be reliable, but we do not represent or warrant that such information is accurate or complete and it should not be relied upon as such.</w:t>
                      </w:r>
                    </w:p>
                    <w:p w14:paraId="12C83E1F" w14:textId="77777777" w:rsidR="00EA5191" w:rsidRPr="00194902" w:rsidRDefault="00EA5191" w:rsidP="0046034D">
                      <w:pPr>
                        <w:pStyle w:val="Footer"/>
                        <w:rPr>
                          <w:rFonts w:ascii="Arial" w:hAnsi="Arial" w:cs="Arial"/>
                          <w:color w:val="616365"/>
                          <w:sz w:val="16"/>
                          <w:szCs w:val="12"/>
                        </w:rPr>
                      </w:pPr>
                      <w:r w:rsidRPr="00194902">
                        <w:rPr>
                          <w:rFonts w:ascii="Arial" w:hAnsi="Arial" w:cs="Arial"/>
                          <w:color w:val="616365"/>
                          <w:sz w:val="16"/>
                          <w:szCs w:val="12"/>
                        </w:rPr>
                        <w:t xml:space="preserve">Analytics products and services referenced herein </w:t>
                      </w:r>
                      <w:r w:rsidR="005B25FB">
                        <w:rPr>
                          <w:rFonts w:ascii="Arial" w:hAnsi="Arial" w:cs="Arial"/>
                          <w:color w:val="616365"/>
                          <w:sz w:val="16"/>
                          <w:szCs w:val="12"/>
                        </w:rPr>
                        <w:t>may</w:t>
                      </w:r>
                      <w:r w:rsidR="005B25FB" w:rsidRPr="00194902">
                        <w:rPr>
                          <w:rFonts w:ascii="Arial" w:hAnsi="Arial" w:cs="Arial"/>
                          <w:color w:val="616365"/>
                          <w:sz w:val="16"/>
                          <w:szCs w:val="12"/>
                        </w:rPr>
                        <w:t xml:space="preserve"> </w:t>
                      </w:r>
                      <w:r w:rsidRPr="00194902">
                        <w:rPr>
                          <w:rFonts w:ascii="Arial" w:hAnsi="Arial" w:cs="Arial"/>
                          <w:color w:val="616365"/>
                          <w:sz w:val="16"/>
                          <w:szCs w:val="12"/>
                        </w:rPr>
                        <w:t>not be subject to oversight by regulatory authorities in one or more jurisdictions, including in Europe</w:t>
                      </w:r>
                      <w:r w:rsidR="00A4292D" w:rsidRPr="00A4292D">
                        <w:rPr>
                          <w:rFonts w:ascii="Arial" w:hAnsi="Arial" w:cs="Arial"/>
                          <w:color w:val="616365"/>
                          <w:sz w:val="16"/>
                          <w:szCs w:val="12"/>
                        </w:rPr>
                        <w:t>, Hong Kong or Australia</w:t>
                      </w:r>
                      <w:r w:rsidRPr="00194902">
                        <w:rPr>
                          <w:rFonts w:ascii="Arial" w:hAnsi="Arial" w:cs="Arial"/>
                          <w:color w:val="616365"/>
                          <w:sz w:val="16"/>
                          <w:szCs w:val="12"/>
                        </w:rPr>
                        <w:t>, where such products and services are offered by Virtu ITG Ventures Limited, registered in Ireland No. 295549 (“VIVL”)</w:t>
                      </w:r>
                      <w:r w:rsidR="00A4292D" w:rsidRPr="00A4292D">
                        <w:rPr>
                          <w:rFonts w:ascii="Arial" w:hAnsi="Arial" w:cs="Arial"/>
                          <w:color w:val="616365"/>
                          <w:sz w:val="16"/>
                          <w:szCs w:val="12"/>
                        </w:rPr>
                        <w:t>, Virtu ITG Hong Kong Limited</w:t>
                      </w:r>
                      <w:r w:rsidR="00A4292D">
                        <w:rPr>
                          <w:rFonts w:ascii="Arial" w:hAnsi="Arial" w:cs="Arial"/>
                          <w:color w:val="616365"/>
                          <w:sz w:val="16"/>
                          <w:szCs w:val="12"/>
                        </w:rPr>
                        <w:t xml:space="preserve"> registered in </w:t>
                      </w:r>
                      <w:r w:rsidR="00A4292D" w:rsidRPr="00A4292D">
                        <w:rPr>
                          <w:rFonts w:ascii="Arial" w:hAnsi="Arial" w:cs="Arial"/>
                          <w:color w:val="616365"/>
                          <w:sz w:val="16"/>
                          <w:szCs w:val="12"/>
                        </w:rPr>
                        <w:t>Hong Kong CE No. AHD810 (“VIHK”) or Virtu ITG Australia Limited</w:t>
                      </w:r>
                      <w:r w:rsidR="00A4292D">
                        <w:rPr>
                          <w:rFonts w:ascii="Arial" w:hAnsi="Arial" w:cs="Arial"/>
                          <w:color w:val="616365"/>
                          <w:sz w:val="16"/>
                          <w:szCs w:val="12"/>
                        </w:rPr>
                        <w:t xml:space="preserve">, registered in </w:t>
                      </w:r>
                      <w:r w:rsidR="00A4292D" w:rsidRPr="00A4292D">
                        <w:rPr>
                          <w:rFonts w:ascii="Arial" w:hAnsi="Arial" w:cs="Arial"/>
                          <w:color w:val="616365"/>
                          <w:sz w:val="16"/>
                          <w:szCs w:val="12"/>
                        </w:rPr>
                        <w:t>Australia AFSL No. 219582 (“VIAU”)</w:t>
                      </w:r>
                      <w:r w:rsidRPr="00194902">
                        <w:rPr>
                          <w:rFonts w:ascii="Arial" w:hAnsi="Arial" w:cs="Arial"/>
                          <w:color w:val="616365"/>
                          <w:sz w:val="16"/>
                          <w:szCs w:val="12"/>
                        </w:rPr>
                        <w:t xml:space="preserve">. VIVL does not engage in regulated activity. </w:t>
                      </w:r>
                    </w:p>
                    <w:p w14:paraId="2703F764" w14:textId="77777777" w:rsidR="00C479DB" w:rsidRPr="00C479DB" w:rsidRDefault="00C479DB" w:rsidP="00C479DB">
                      <w:pPr>
                        <w:rPr>
                          <w:rFonts w:ascii="Arial" w:hAnsi="Arial" w:cs="Arial"/>
                          <w:color w:val="616365"/>
                          <w:sz w:val="16"/>
                          <w:szCs w:val="12"/>
                        </w:rPr>
                      </w:pPr>
                      <w:r w:rsidRPr="00C479DB">
                        <w:rPr>
                          <w:rFonts w:ascii="Arial" w:hAnsi="Arial" w:cs="Arial"/>
                          <w:color w:val="616365"/>
                          <w:sz w:val="16"/>
                          <w:szCs w:val="12"/>
                        </w:rPr>
                        <w:t>Securities products and services are offered by the following subsidiaries of Virtu Financial, Inc. In the U.S., Virtu Americas LLC, member FINRA and SIPC; in Canada, Virtu Canada Corp., member Canadian Investor Protection Fund and Canadian Investment Regulatory Organization; in Europe, Virtu Europe Trading Limited, registered in Ireland No. 283940 (“VETL”) (VETL is authorized and regulated by the Central Bank of Ireland), and Virtu Financial Ireland Limited, registered in Ireland No. 471719 (“VFIL”) (VFIL is authorized and regulated by the Central Bank of Ireland). The registered office of VETL and VFIL is North Dock One, Fifth Floor, 91-92 North Wall Quay, Dublin 1, Ireland, D01 H7V7; in Asia, Virtu ITG Hong Kong Limited (SFC License No. AHD810), Virtu ITG Singapore Pte Limited (CMS License No. 100138-1), and Virtu ITG Australia Limited (AFS License No. 219582).</w:t>
                      </w:r>
                    </w:p>
                    <w:p w14:paraId="5E367FC8" w14:textId="77777777" w:rsidR="00EA5191" w:rsidRPr="00194902" w:rsidRDefault="00EA5191" w:rsidP="00C479DB">
                      <w:pPr>
                        <w:pStyle w:val="Footer"/>
                        <w:rPr>
                          <w:rFonts w:ascii="Arial" w:hAnsi="Arial" w:cs="Arial"/>
                          <w:color w:val="616365"/>
                          <w:sz w:val="16"/>
                          <w:szCs w:val="12"/>
                        </w:rPr>
                      </w:pPr>
                    </w:p>
                  </w:txbxContent>
                </v:textbox>
                <w10:wrap type="topAndBottom" anchorx="margin" anchory="margin"/>
              </v:shape>
            </w:pict>
          </mc:Fallback>
        </mc:AlternateContent>
      </w:r>
    </w:p>
    <w:sectPr w:rsidR="00424BB0" w:rsidSect="004B3D77">
      <w:headerReference w:type="default" r:id="rId25"/>
      <w:footerReference w:type="default" r:id="rId26"/>
      <w:headerReference w:type="first" r:id="rId27"/>
      <w:footerReference w:type="first" r:id="rId28"/>
      <w:pgSz w:w="11900" w:h="16820"/>
      <w:pgMar w:top="1670" w:right="1640" w:bottom="1170" w:left="245" w:header="720" w:footer="256" w:gutter="108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BAC84" w14:textId="77777777" w:rsidR="00056648" w:rsidRDefault="00056648" w:rsidP="0083261D">
      <w:r>
        <w:separator/>
      </w:r>
    </w:p>
  </w:endnote>
  <w:endnote w:type="continuationSeparator" w:id="0">
    <w:p w14:paraId="335B757E" w14:textId="77777777" w:rsidR="00056648" w:rsidRDefault="00056648" w:rsidP="0083261D">
      <w:r>
        <w:continuationSeparator/>
      </w:r>
    </w:p>
  </w:endnote>
  <w:endnote w:type="continuationNotice" w:id="1">
    <w:p w14:paraId="4F215EC2" w14:textId="77777777" w:rsidR="00056648" w:rsidRDefault="0005664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21B1" w14:textId="77777777" w:rsidR="00E4013E" w:rsidRPr="00E2278B" w:rsidRDefault="00E4013E" w:rsidP="00E4013E">
    <w:pPr>
      <w:pStyle w:val="Footer"/>
      <w:framePr w:h="800" w:hRule="exact" w:wrap="around" w:vAnchor="text" w:hAnchor="page" w:x="10044" w:y="274"/>
      <w:rPr>
        <w:rStyle w:val="PageNumber"/>
        <w:rFonts w:ascii="Arial" w:hAnsi="Arial" w:cs="Arial"/>
        <w:color w:val="auto"/>
        <w:sz w:val="20"/>
      </w:rPr>
    </w:pPr>
    <w:r w:rsidRPr="00E2278B">
      <w:rPr>
        <w:rStyle w:val="PageNumber"/>
        <w:rFonts w:ascii="Arial" w:hAnsi="Arial" w:cs="Arial"/>
      </w:rPr>
      <w:fldChar w:fldCharType="begin"/>
    </w:r>
    <w:r w:rsidRPr="00E2278B">
      <w:rPr>
        <w:rStyle w:val="PageNumber"/>
        <w:rFonts w:ascii="Arial" w:hAnsi="Arial" w:cs="Arial"/>
      </w:rPr>
      <w:instrText xml:space="preserve">PAGE  </w:instrText>
    </w:r>
    <w:r w:rsidRPr="00E2278B">
      <w:rPr>
        <w:rStyle w:val="PageNumber"/>
        <w:rFonts w:ascii="Arial" w:hAnsi="Arial" w:cs="Arial"/>
      </w:rPr>
      <w:fldChar w:fldCharType="separate"/>
    </w:r>
    <w:r>
      <w:rPr>
        <w:rStyle w:val="PageNumber"/>
        <w:rFonts w:ascii="Arial" w:hAnsi="Arial" w:cs="Arial"/>
      </w:rPr>
      <w:t>1</w:t>
    </w:r>
    <w:r w:rsidRPr="00E2278B">
      <w:rPr>
        <w:rStyle w:val="PageNumber"/>
        <w:rFonts w:ascii="Arial" w:hAnsi="Arial" w:cs="Arial"/>
      </w:rPr>
      <w:fldChar w:fldCharType="end"/>
    </w:r>
  </w:p>
  <w:p w14:paraId="32F26229" w14:textId="77777777" w:rsidR="007B21B7" w:rsidRPr="00E4013E" w:rsidRDefault="00E4013E" w:rsidP="00E4013E">
    <w:pPr>
      <w:pStyle w:val="Caption"/>
      <w:ind w:right="585"/>
      <w:jc w:val="both"/>
      <w:rPr>
        <w:rFonts w:ascii="Arial" w:hAnsi="Arial" w:cs="Arial"/>
        <w:iCs w:val="0"/>
        <w:color w:val="616365" w:themeColor="text2"/>
      </w:rPr>
    </w:pPr>
    <w:r>
      <w:rPr>
        <w:rFonts w:ascii="Arial" w:hAnsi="Arial" w:cs="Arial"/>
        <w:iCs w:val="0"/>
        <w:color w:val="616365" w:themeColor="text2"/>
      </w:rPr>
      <w:t xml:space="preserve">All chart sources: Virtu Financial, </w:t>
    </w:r>
    <w:r w:rsidR="00C766A2">
      <w:rPr>
        <w:rFonts w:ascii="Arial" w:hAnsi="Arial" w:cs="Arial"/>
        <w:iCs w:val="0"/>
        <w:color w:val="616365" w:themeColor="text2"/>
      </w:rPr>
      <w:t>2026</w:t>
    </w:r>
    <w:r>
      <w:rPr>
        <w:rFonts w:ascii="Arial" w:hAnsi="Arial" w:cs="Arial"/>
        <w:iCs w:val="0"/>
        <w:color w:val="616365" w:themeColor="text2"/>
      </w:rPr>
      <w:t xml:space="preserve">. Spread and volatility calculations are derived from sources that Virtu believes to be reliable, but Virtu does not make any claims to its accuracy. </w:t>
    </w:r>
    <w:r w:rsidRPr="007432C6">
      <w:rPr>
        <w:rFonts w:ascii="Arial" w:hAnsi="Arial" w:cs="Arial"/>
        <w:iCs w:val="0"/>
        <w:color w:val="616365" w:themeColor="text2"/>
      </w:rPr>
      <w:t>USD.NOK, USD.SEK, EUR.NOK and EUR.SEK</w:t>
    </w:r>
    <w:r>
      <w:rPr>
        <w:rFonts w:ascii="Arial" w:hAnsi="Arial" w:cs="Arial"/>
        <w:iCs w:val="0"/>
        <w:color w:val="616365" w:themeColor="text2"/>
      </w:rPr>
      <w:t xml:space="preserve"> are shown in separate exhibits.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32D1" w14:textId="77777777" w:rsidR="00E4013E" w:rsidRPr="00E2278B" w:rsidRDefault="00E4013E" w:rsidP="00E4013E">
    <w:pPr>
      <w:pStyle w:val="Footer"/>
      <w:framePr w:h="800" w:hRule="exact" w:wrap="around" w:vAnchor="text" w:hAnchor="page" w:x="10044" w:y="274"/>
      <w:rPr>
        <w:rStyle w:val="PageNumber"/>
        <w:rFonts w:ascii="Arial" w:hAnsi="Arial" w:cs="Arial"/>
        <w:color w:val="auto"/>
        <w:sz w:val="20"/>
      </w:rPr>
    </w:pPr>
    <w:r w:rsidRPr="00E2278B">
      <w:rPr>
        <w:rStyle w:val="PageNumber"/>
        <w:rFonts w:ascii="Arial" w:hAnsi="Arial" w:cs="Arial"/>
      </w:rPr>
      <w:fldChar w:fldCharType="begin"/>
    </w:r>
    <w:r w:rsidRPr="00E2278B">
      <w:rPr>
        <w:rStyle w:val="PageNumber"/>
        <w:rFonts w:ascii="Arial" w:hAnsi="Arial" w:cs="Arial"/>
      </w:rPr>
      <w:instrText xml:space="preserve">PAGE  </w:instrText>
    </w:r>
    <w:r w:rsidRPr="00E2278B">
      <w:rPr>
        <w:rStyle w:val="PageNumber"/>
        <w:rFonts w:ascii="Arial" w:hAnsi="Arial" w:cs="Arial"/>
      </w:rPr>
      <w:fldChar w:fldCharType="separate"/>
    </w:r>
    <w:r>
      <w:rPr>
        <w:rStyle w:val="PageNumber"/>
        <w:rFonts w:ascii="Arial" w:hAnsi="Arial" w:cs="Arial"/>
      </w:rPr>
      <w:t>1</w:t>
    </w:r>
    <w:r w:rsidRPr="00E2278B">
      <w:rPr>
        <w:rStyle w:val="PageNumber"/>
        <w:rFonts w:ascii="Arial" w:hAnsi="Arial" w:cs="Arial"/>
      </w:rPr>
      <w:fldChar w:fldCharType="end"/>
    </w:r>
  </w:p>
  <w:p w14:paraId="695E2236" w14:textId="77777777" w:rsidR="007B21B7" w:rsidRPr="00831FAE" w:rsidRDefault="00E4013E" w:rsidP="00E4013E">
    <w:pPr>
      <w:pStyle w:val="Caption"/>
      <w:spacing w:before="0"/>
      <w:ind w:right="585"/>
      <w:jc w:val="both"/>
      <w:rPr>
        <w:rFonts w:ascii="Arial" w:hAnsi="Arial" w:cs="Arial"/>
        <w:iCs w:val="0"/>
        <w:color w:val="616365" w:themeColor="text2"/>
        <w:sz w:val="17"/>
        <w:szCs w:val="17"/>
      </w:rPr>
    </w:pPr>
    <w:r w:rsidRPr="009F36DE">
      <w:rPr>
        <w:rFonts w:ascii="Arial" w:hAnsi="Arial" w:cs="Arial"/>
        <w:iCs w:val="0"/>
        <w:color w:val="616365" w:themeColor="text2"/>
        <w:sz w:val="17"/>
        <w:szCs w:val="17"/>
      </w:rPr>
      <w:t xml:space="preserve">All chart sources: Virtu Financial, </w:t>
    </w:r>
    <w:r w:rsidR="00C766A2">
      <w:rPr>
        <w:rFonts w:ascii="Arial" w:hAnsi="Arial" w:cs="Arial"/>
        <w:iCs w:val="0"/>
        <w:color w:val="616365" w:themeColor="text2"/>
        <w:sz w:val="17"/>
        <w:szCs w:val="17"/>
      </w:rPr>
      <w:t>2026</w:t>
    </w:r>
    <w:r w:rsidRPr="009F36DE">
      <w:rPr>
        <w:rFonts w:ascii="Arial" w:hAnsi="Arial" w:cs="Arial"/>
        <w:iCs w:val="0"/>
        <w:color w:val="616365" w:themeColor="text2"/>
        <w:sz w:val="17"/>
        <w:szCs w:val="17"/>
      </w:rPr>
      <w:t>. Spread and volatility calculations are derived from sources that Virtu believes to be reliable, but Virtu does not make any claims to its accuracy. USD.NOK, USD.SEK, EUR.NOK and EUR.SEK are shown in the separate exhibits.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F69CD" w14:textId="77777777" w:rsidR="00056648" w:rsidRPr="001E0524" w:rsidRDefault="00056648" w:rsidP="001E0524">
      <w:pPr>
        <w:pStyle w:val="Footer"/>
      </w:pPr>
    </w:p>
  </w:footnote>
  <w:footnote w:type="continuationSeparator" w:id="0">
    <w:p w14:paraId="5E338C10" w14:textId="77777777" w:rsidR="00056648" w:rsidRDefault="00056648" w:rsidP="00832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BE62" w14:textId="77777777" w:rsidR="00B50415" w:rsidRDefault="00B50415">
    <w:pPr>
      <w:pStyle w:val="Header"/>
    </w:pPr>
    <w:r>
      <w:rPr>
        <w:noProof/>
      </w:rPr>
      <w:drawing>
        <wp:anchor distT="0" distB="0" distL="114300" distR="114300" simplePos="0" relativeHeight="251658240" behindDoc="0" locked="0" layoutInCell="1" allowOverlap="1" wp14:anchorId="539870A3" wp14:editId="1A25FD80">
          <wp:simplePos x="0" y="0"/>
          <wp:positionH relativeFrom="margin">
            <wp:posOffset>5623404</wp:posOffset>
          </wp:positionH>
          <wp:positionV relativeFrom="margin">
            <wp:posOffset>-569344</wp:posOffset>
          </wp:positionV>
          <wp:extent cx="531368" cy="471805"/>
          <wp:effectExtent l="0" t="0" r="2540" b="4445"/>
          <wp:wrapSquare wrapText="bothSides"/>
          <wp:docPr id="19" name="Picture 19" descr="/Volumes/group/Corporate/NEW Marketing 20121029/Creative/Virtu/Assets/Logos/Symbol/RGB/Virtu Logo Symbol Color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group/Corporate/NEW Marketing 20121029/Creative/Virtu/Assets/Logos/Symbol/RGB/Virtu Logo Symbol Color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368" cy="47180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F8D0" w14:textId="77777777" w:rsidR="00EA5191" w:rsidRDefault="00B50415" w:rsidP="001E0257">
    <w:pPr>
      <w:pStyle w:val="Header"/>
      <w:ind w:right="-965"/>
      <w:jc w:val="right"/>
    </w:pPr>
    <w:r>
      <w:rPr>
        <w:noProof/>
      </w:rPr>
      <w:drawing>
        <wp:inline distT="0" distB="0" distL="0" distR="0" wp14:anchorId="3E7ADAA3" wp14:editId="0A226F77">
          <wp:extent cx="1614399" cy="509785"/>
          <wp:effectExtent l="0" t="0" r="0" b="0"/>
          <wp:docPr id="1" name="Picture 1" descr="/Volumes/group/Corporate/NEW Marketing 20121029/Creative/Virtu/Assets/Logos/Horizontal/RGB/Virtu Logo Horiz Color Navy Txt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group/Corporate/NEW Marketing 20121029/Creative/Virtu/Assets/Logos/Horizontal/RGB/Virtu Logo Horiz Color Navy Txt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0037" cy="5494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480B2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2F02D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CC0F72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9BCE20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A3205E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452732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6E65D0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396732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6D4D0B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E48F98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3D074D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4E32419"/>
    <w:multiLevelType w:val="hybridMultilevel"/>
    <w:tmpl w:val="0180E236"/>
    <w:lvl w:ilvl="0" w:tplc="7B6675FA">
      <w:start w:val="1"/>
      <w:numFmt w:val="bullet"/>
      <w:lvlText w:val="•"/>
      <w:lvlJc w:val="left"/>
      <w:pPr>
        <w:ind w:left="360" w:hanging="360"/>
      </w:pPr>
      <w:rPr>
        <w:rFonts w:ascii="Arial" w:hAnsi="Arial" w:hint="default"/>
        <w:color w:val="099D91"/>
        <w:sz w:val="24"/>
        <w:szCs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BC06ED5"/>
    <w:multiLevelType w:val="hybridMultilevel"/>
    <w:tmpl w:val="7CC0728E"/>
    <w:lvl w:ilvl="0" w:tplc="34D668BE">
      <w:start w:val="1"/>
      <w:numFmt w:val="bullet"/>
      <w:lvlText w:val=""/>
      <w:lvlJc w:val="left"/>
      <w:pPr>
        <w:ind w:left="360" w:hanging="360"/>
      </w:pPr>
      <w:rPr>
        <w:rFonts w:ascii="Symbol" w:hAnsi="Symbol" w:hint="default"/>
        <w:color w:val="00948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EBF701B"/>
    <w:multiLevelType w:val="multilevel"/>
    <w:tmpl w:val="04D6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C2506E"/>
    <w:multiLevelType w:val="hybridMultilevel"/>
    <w:tmpl w:val="80F2656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1EF96491"/>
    <w:multiLevelType w:val="hybridMultilevel"/>
    <w:tmpl w:val="2B36FFE4"/>
    <w:lvl w:ilvl="0" w:tplc="7B20DA4C">
      <w:start w:val="1"/>
      <w:numFmt w:val="bullet"/>
      <w:lvlText w:val=""/>
      <w:lvlJc w:val="left"/>
      <w:pPr>
        <w:ind w:left="360" w:hanging="360"/>
      </w:pPr>
      <w:rPr>
        <w:rFonts w:ascii="Symbol" w:hAnsi="Symbol" w:hint="default"/>
        <w:color w:val="099D91"/>
        <w:sz w:val="24"/>
        <w:szCs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C62191"/>
    <w:multiLevelType w:val="hybridMultilevel"/>
    <w:tmpl w:val="025CF25C"/>
    <w:lvl w:ilvl="0" w:tplc="7B6675FA">
      <w:start w:val="1"/>
      <w:numFmt w:val="bullet"/>
      <w:lvlText w:val="•"/>
      <w:lvlJc w:val="left"/>
      <w:pPr>
        <w:ind w:left="360" w:hanging="360"/>
      </w:pPr>
      <w:rPr>
        <w:rFonts w:ascii="Arial" w:hAnsi="Arial" w:hint="default"/>
        <w:color w:val="099D91"/>
        <w:sz w:val="24"/>
        <w:szCs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73300E4"/>
    <w:multiLevelType w:val="hybridMultilevel"/>
    <w:tmpl w:val="91EA3E12"/>
    <w:lvl w:ilvl="0" w:tplc="5E9AB6AE">
      <w:start w:val="1"/>
      <w:numFmt w:val="bullet"/>
      <w:lvlText w:val="•"/>
      <w:lvlJc w:val="left"/>
      <w:pPr>
        <w:ind w:left="720" w:hanging="360"/>
      </w:pPr>
      <w:rPr>
        <w:rFonts w:ascii="Arial" w:hAnsi="Arial" w:hint="default"/>
        <w:color w:val="009D91"/>
        <w:sz w:val="24"/>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DF0920"/>
    <w:multiLevelType w:val="hybridMultilevel"/>
    <w:tmpl w:val="5216A10E"/>
    <w:lvl w:ilvl="0" w:tplc="961647E4">
      <w:start w:val="12"/>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2F191EB5"/>
    <w:multiLevelType w:val="hybridMultilevel"/>
    <w:tmpl w:val="69A8D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6F0E03"/>
    <w:multiLevelType w:val="hybridMultilevel"/>
    <w:tmpl w:val="9AD66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6717FA"/>
    <w:multiLevelType w:val="hybridMultilevel"/>
    <w:tmpl w:val="344E220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3F8F089E"/>
    <w:multiLevelType w:val="hybridMultilevel"/>
    <w:tmpl w:val="CA9C74FE"/>
    <w:lvl w:ilvl="0" w:tplc="0EB45E8E">
      <w:start w:val="12"/>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0204F3A"/>
    <w:multiLevelType w:val="hybridMultilevel"/>
    <w:tmpl w:val="3CF28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EA6B96"/>
    <w:multiLevelType w:val="hybridMultilevel"/>
    <w:tmpl w:val="3F72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5245FA"/>
    <w:multiLevelType w:val="hybridMultilevel"/>
    <w:tmpl w:val="AAF4D488"/>
    <w:lvl w:ilvl="0" w:tplc="7B6675FA">
      <w:start w:val="1"/>
      <w:numFmt w:val="bullet"/>
      <w:lvlText w:val="•"/>
      <w:lvlJc w:val="left"/>
      <w:pPr>
        <w:ind w:left="720" w:hanging="360"/>
      </w:pPr>
      <w:rPr>
        <w:rFonts w:ascii="Arial" w:hAnsi="Arial" w:hint="default"/>
        <w:color w:val="099D91"/>
        <w:sz w:val="24"/>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A12269"/>
    <w:multiLevelType w:val="hybridMultilevel"/>
    <w:tmpl w:val="7728A260"/>
    <w:lvl w:ilvl="0" w:tplc="7B6675FA">
      <w:start w:val="1"/>
      <w:numFmt w:val="bullet"/>
      <w:lvlText w:val="•"/>
      <w:lvlJc w:val="left"/>
      <w:pPr>
        <w:ind w:left="360" w:hanging="360"/>
      </w:pPr>
      <w:rPr>
        <w:rFonts w:ascii="Arial" w:hAnsi="Arial" w:hint="default"/>
        <w:color w:val="099D91"/>
        <w:sz w:val="24"/>
        <w:szCs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94322AC"/>
    <w:multiLevelType w:val="hybridMultilevel"/>
    <w:tmpl w:val="B4E8ABB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5D4C0950"/>
    <w:multiLevelType w:val="hybridMultilevel"/>
    <w:tmpl w:val="D430EFE8"/>
    <w:lvl w:ilvl="0" w:tplc="34D668BE">
      <w:start w:val="1"/>
      <w:numFmt w:val="bullet"/>
      <w:lvlText w:val=""/>
      <w:lvlJc w:val="left"/>
      <w:pPr>
        <w:ind w:left="720" w:hanging="360"/>
      </w:pPr>
      <w:rPr>
        <w:rFonts w:ascii="Symbol" w:hAnsi="Symbol" w:hint="default"/>
        <w:color w:val="00948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3992466">
    <w:abstractNumId w:val="0"/>
  </w:num>
  <w:num w:numId="2" w16cid:durableId="1704357442">
    <w:abstractNumId w:val="1"/>
  </w:num>
  <w:num w:numId="3" w16cid:durableId="2089568676">
    <w:abstractNumId w:val="2"/>
  </w:num>
  <w:num w:numId="4" w16cid:durableId="659499265">
    <w:abstractNumId w:val="3"/>
  </w:num>
  <w:num w:numId="5" w16cid:durableId="1921670128">
    <w:abstractNumId w:val="4"/>
  </w:num>
  <w:num w:numId="6" w16cid:durableId="70472185">
    <w:abstractNumId w:val="9"/>
  </w:num>
  <w:num w:numId="7" w16cid:durableId="1682318066">
    <w:abstractNumId w:val="5"/>
  </w:num>
  <w:num w:numId="8" w16cid:durableId="2030370916">
    <w:abstractNumId w:val="6"/>
  </w:num>
  <w:num w:numId="9" w16cid:durableId="1740982620">
    <w:abstractNumId w:val="7"/>
  </w:num>
  <w:num w:numId="10" w16cid:durableId="1787239256">
    <w:abstractNumId w:val="8"/>
  </w:num>
  <w:num w:numId="11" w16cid:durableId="297224183">
    <w:abstractNumId w:val="10"/>
  </w:num>
  <w:num w:numId="12" w16cid:durableId="123932174">
    <w:abstractNumId w:val="27"/>
  </w:num>
  <w:num w:numId="13" w16cid:durableId="1641617875">
    <w:abstractNumId w:val="21"/>
  </w:num>
  <w:num w:numId="14" w16cid:durableId="1431512614">
    <w:abstractNumId w:val="13"/>
  </w:num>
  <w:num w:numId="15" w16cid:durableId="491605317">
    <w:abstractNumId w:val="14"/>
  </w:num>
  <w:num w:numId="16" w16cid:durableId="1951890656">
    <w:abstractNumId w:val="24"/>
  </w:num>
  <w:num w:numId="17" w16cid:durableId="1442383093">
    <w:abstractNumId w:val="28"/>
  </w:num>
  <w:num w:numId="18" w16cid:durableId="1583903943">
    <w:abstractNumId w:val="12"/>
  </w:num>
  <w:num w:numId="19" w16cid:durableId="1478493859">
    <w:abstractNumId w:val="20"/>
  </w:num>
  <w:num w:numId="20" w16cid:durableId="1662199335">
    <w:abstractNumId w:val="26"/>
  </w:num>
  <w:num w:numId="21" w16cid:durableId="1681002048">
    <w:abstractNumId w:val="25"/>
  </w:num>
  <w:num w:numId="22" w16cid:durableId="977414976">
    <w:abstractNumId w:val="11"/>
  </w:num>
  <w:num w:numId="23" w16cid:durableId="2073460109">
    <w:abstractNumId w:val="16"/>
  </w:num>
  <w:num w:numId="24" w16cid:durableId="803042122">
    <w:abstractNumId w:val="23"/>
  </w:num>
  <w:num w:numId="25" w16cid:durableId="459804755">
    <w:abstractNumId w:val="17"/>
  </w:num>
  <w:num w:numId="26" w16cid:durableId="706024829">
    <w:abstractNumId w:val="15"/>
  </w:num>
  <w:num w:numId="27" w16cid:durableId="1359307803">
    <w:abstractNumId w:val="19"/>
  </w:num>
  <w:num w:numId="28" w16cid:durableId="60299228">
    <w:abstractNumId w:val="22"/>
  </w:num>
  <w:num w:numId="29" w16cid:durableId="5883950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D92"/>
    <w:rsid w:val="0000087B"/>
    <w:rsid w:val="0000350D"/>
    <w:rsid w:val="00004AA5"/>
    <w:rsid w:val="000105AA"/>
    <w:rsid w:val="0002417C"/>
    <w:rsid w:val="00031513"/>
    <w:rsid w:val="00034289"/>
    <w:rsid w:val="00035CC8"/>
    <w:rsid w:val="00037376"/>
    <w:rsid w:val="000402F1"/>
    <w:rsid w:val="00045FF8"/>
    <w:rsid w:val="00047432"/>
    <w:rsid w:val="00047E69"/>
    <w:rsid w:val="00050192"/>
    <w:rsid w:val="00052A0C"/>
    <w:rsid w:val="00054677"/>
    <w:rsid w:val="00054B34"/>
    <w:rsid w:val="00055C37"/>
    <w:rsid w:val="00056648"/>
    <w:rsid w:val="00065E10"/>
    <w:rsid w:val="000665E0"/>
    <w:rsid w:val="00066DF4"/>
    <w:rsid w:val="00075D7A"/>
    <w:rsid w:val="000814A3"/>
    <w:rsid w:val="00081FFB"/>
    <w:rsid w:val="000863EB"/>
    <w:rsid w:val="00086F54"/>
    <w:rsid w:val="00091FEA"/>
    <w:rsid w:val="00096AB0"/>
    <w:rsid w:val="000977A8"/>
    <w:rsid w:val="000A49C2"/>
    <w:rsid w:val="000A4BD8"/>
    <w:rsid w:val="000B0190"/>
    <w:rsid w:val="000B14BF"/>
    <w:rsid w:val="000B1892"/>
    <w:rsid w:val="000B4F0B"/>
    <w:rsid w:val="000B50B1"/>
    <w:rsid w:val="000C29BB"/>
    <w:rsid w:val="000D1BF9"/>
    <w:rsid w:val="000D4845"/>
    <w:rsid w:val="000D4C67"/>
    <w:rsid w:val="000D5003"/>
    <w:rsid w:val="000D5A92"/>
    <w:rsid w:val="000D7CF7"/>
    <w:rsid w:val="000E0F6F"/>
    <w:rsid w:val="000E52F7"/>
    <w:rsid w:val="000E5676"/>
    <w:rsid w:val="000E596D"/>
    <w:rsid w:val="000E5BC3"/>
    <w:rsid w:val="000E66F1"/>
    <w:rsid w:val="000E6BD5"/>
    <w:rsid w:val="000E7007"/>
    <w:rsid w:val="000F0431"/>
    <w:rsid w:val="000F2827"/>
    <w:rsid w:val="0010090D"/>
    <w:rsid w:val="00103D65"/>
    <w:rsid w:val="00110CCE"/>
    <w:rsid w:val="001116F2"/>
    <w:rsid w:val="001152EF"/>
    <w:rsid w:val="00116791"/>
    <w:rsid w:val="00120C86"/>
    <w:rsid w:val="001276F2"/>
    <w:rsid w:val="0013171E"/>
    <w:rsid w:val="00134439"/>
    <w:rsid w:val="00137BC4"/>
    <w:rsid w:val="00140B0E"/>
    <w:rsid w:val="00142FD8"/>
    <w:rsid w:val="00143A9E"/>
    <w:rsid w:val="001457D1"/>
    <w:rsid w:val="00150479"/>
    <w:rsid w:val="001506C1"/>
    <w:rsid w:val="00151E51"/>
    <w:rsid w:val="001520B5"/>
    <w:rsid w:val="00156BF0"/>
    <w:rsid w:val="001572AD"/>
    <w:rsid w:val="00161F46"/>
    <w:rsid w:val="001634FF"/>
    <w:rsid w:val="00163AFE"/>
    <w:rsid w:val="001644C8"/>
    <w:rsid w:val="00167C0D"/>
    <w:rsid w:val="00170D42"/>
    <w:rsid w:val="001729BC"/>
    <w:rsid w:val="00172F4C"/>
    <w:rsid w:val="00175E48"/>
    <w:rsid w:val="001805EE"/>
    <w:rsid w:val="00181786"/>
    <w:rsid w:val="001826B7"/>
    <w:rsid w:val="00183514"/>
    <w:rsid w:val="00184271"/>
    <w:rsid w:val="00186093"/>
    <w:rsid w:val="001864B7"/>
    <w:rsid w:val="00186545"/>
    <w:rsid w:val="0018735B"/>
    <w:rsid w:val="001908F8"/>
    <w:rsid w:val="00194902"/>
    <w:rsid w:val="001971BC"/>
    <w:rsid w:val="001A0415"/>
    <w:rsid w:val="001A107F"/>
    <w:rsid w:val="001A2E6D"/>
    <w:rsid w:val="001A5FAF"/>
    <w:rsid w:val="001A7931"/>
    <w:rsid w:val="001B25E1"/>
    <w:rsid w:val="001C3B39"/>
    <w:rsid w:val="001C43A9"/>
    <w:rsid w:val="001C491A"/>
    <w:rsid w:val="001C4D32"/>
    <w:rsid w:val="001C7F6D"/>
    <w:rsid w:val="001D1246"/>
    <w:rsid w:val="001D4534"/>
    <w:rsid w:val="001D4625"/>
    <w:rsid w:val="001D5E64"/>
    <w:rsid w:val="001E0257"/>
    <w:rsid w:val="001E0524"/>
    <w:rsid w:val="001E1791"/>
    <w:rsid w:val="001E305C"/>
    <w:rsid w:val="001E4A0F"/>
    <w:rsid w:val="001E7D53"/>
    <w:rsid w:val="001F49C0"/>
    <w:rsid w:val="001F54AC"/>
    <w:rsid w:val="001F5A3B"/>
    <w:rsid w:val="00200AAD"/>
    <w:rsid w:val="00202A85"/>
    <w:rsid w:val="00207571"/>
    <w:rsid w:val="002103EC"/>
    <w:rsid w:val="00211C5A"/>
    <w:rsid w:val="00212406"/>
    <w:rsid w:val="00214BCF"/>
    <w:rsid w:val="0021555D"/>
    <w:rsid w:val="00215A8E"/>
    <w:rsid w:val="002173A2"/>
    <w:rsid w:val="00220984"/>
    <w:rsid w:val="0022114C"/>
    <w:rsid w:val="00224B4C"/>
    <w:rsid w:val="00230323"/>
    <w:rsid w:val="00230D4B"/>
    <w:rsid w:val="00232EAA"/>
    <w:rsid w:val="00234C55"/>
    <w:rsid w:val="0024093E"/>
    <w:rsid w:val="002416E6"/>
    <w:rsid w:val="00242394"/>
    <w:rsid w:val="0024334E"/>
    <w:rsid w:val="00246098"/>
    <w:rsid w:val="00250748"/>
    <w:rsid w:val="002521E2"/>
    <w:rsid w:val="00260703"/>
    <w:rsid w:val="00260877"/>
    <w:rsid w:val="00262E9C"/>
    <w:rsid w:val="0026318F"/>
    <w:rsid w:val="002640AD"/>
    <w:rsid w:val="0026506C"/>
    <w:rsid w:val="002721AA"/>
    <w:rsid w:val="002726A6"/>
    <w:rsid w:val="00273119"/>
    <w:rsid w:val="00274F2C"/>
    <w:rsid w:val="002760BF"/>
    <w:rsid w:val="00282B23"/>
    <w:rsid w:val="002837C9"/>
    <w:rsid w:val="00285347"/>
    <w:rsid w:val="0028590A"/>
    <w:rsid w:val="00286B3C"/>
    <w:rsid w:val="00287433"/>
    <w:rsid w:val="00291AA3"/>
    <w:rsid w:val="00292C51"/>
    <w:rsid w:val="002943C0"/>
    <w:rsid w:val="0029531E"/>
    <w:rsid w:val="00297560"/>
    <w:rsid w:val="002A3B02"/>
    <w:rsid w:val="002B0570"/>
    <w:rsid w:val="002B06E6"/>
    <w:rsid w:val="002B50EB"/>
    <w:rsid w:val="002B528C"/>
    <w:rsid w:val="002B6D12"/>
    <w:rsid w:val="002B7DC8"/>
    <w:rsid w:val="002C07FD"/>
    <w:rsid w:val="002C09D4"/>
    <w:rsid w:val="002C1F10"/>
    <w:rsid w:val="002C3169"/>
    <w:rsid w:val="002C48ED"/>
    <w:rsid w:val="002C5E95"/>
    <w:rsid w:val="002D314C"/>
    <w:rsid w:val="002D3E5F"/>
    <w:rsid w:val="002E002E"/>
    <w:rsid w:val="002E0E8C"/>
    <w:rsid w:val="002E5D11"/>
    <w:rsid w:val="002E6AD9"/>
    <w:rsid w:val="002F58C0"/>
    <w:rsid w:val="002F5C8D"/>
    <w:rsid w:val="00303CD7"/>
    <w:rsid w:val="00304E60"/>
    <w:rsid w:val="00305092"/>
    <w:rsid w:val="0030562E"/>
    <w:rsid w:val="00310F3D"/>
    <w:rsid w:val="00311EB1"/>
    <w:rsid w:val="00313A6E"/>
    <w:rsid w:val="00314B2E"/>
    <w:rsid w:val="00320A73"/>
    <w:rsid w:val="00322A7A"/>
    <w:rsid w:val="00323584"/>
    <w:rsid w:val="0033236F"/>
    <w:rsid w:val="003342EF"/>
    <w:rsid w:val="003411D8"/>
    <w:rsid w:val="00341F1B"/>
    <w:rsid w:val="003433A6"/>
    <w:rsid w:val="00343671"/>
    <w:rsid w:val="003437AC"/>
    <w:rsid w:val="003469C0"/>
    <w:rsid w:val="00346AB3"/>
    <w:rsid w:val="00353C37"/>
    <w:rsid w:val="00357727"/>
    <w:rsid w:val="00361B68"/>
    <w:rsid w:val="003726F1"/>
    <w:rsid w:val="003731AD"/>
    <w:rsid w:val="00373263"/>
    <w:rsid w:val="00376891"/>
    <w:rsid w:val="00383B4C"/>
    <w:rsid w:val="0038413A"/>
    <w:rsid w:val="00385462"/>
    <w:rsid w:val="003A2601"/>
    <w:rsid w:val="003B1437"/>
    <w:rsid w:val="003B5165"/>
    <w:rsid w:val="003D2618"/>
    <w:rsid w:val="003D50C6"/>
    <w:rsid w:val="003D5D6F"/>
    <w:rsid w:val="003D6307"/>
    <w:rsid w:val="003E187D"/>
    <w:rsid w:val="003E226C"/>
    <w:rsid w:val="003E5A92"/>
    <w:rsid w:val="003E5BFA"/>
    <w:rsid w:val="003E6567"/>
    <w:rsid w:val="003E6CEA"/>
    <w:rsid w:val="003F12BD"/>
    <w:rsid w:val="003F36D3"/>
    <w:rsid w:val="003F48FF"/>
    <w:rsid w:val="004002AE"/>
    <w:rsid w:val="00400BE8"/>
    <w:rsid w:val="004047BE"/>
    <w:rsid w:val="00404D80"/>
    <w:rsid w:val="00416EC2"/>
    <w:rsid w:val="0042234A"/>
    <w:rsid w:val="00424AC2"/>
    <w:rsid w:val="00424BB0"/>
    <w:rsid w:val="00424F7E"/>
    <w:rsid w:val="00425841"/>
    <w:rsid w:val="00426775"/>
    <w:rsid w:val="0043073F"/>
    <w:rsid w:val="00431748"/>
    <w:rsid w:val="00434EC3"/>
    <w:rsid w:val="00436598"/>
    <w:rsid w:val="004431EE"/>
    <w:rsid w:val="004452DD"/>
    <w:rsid w:val="00445EFB"/>
    <w:rsid w:val="004502C7"/>
    <w:rsid w:val="00457E18"/>
    <w:rsid w:val="0046034D"/>
    <w:rsid w:val="00460D43"/>
    <w:rsid w:val="00463935"/>
    <w:rsid w:val="004660B4"/>
    <w:rsid w:val="0046789C"/>
    <w:rsid w:val="004700D2"/>
    <w:rsid w:val="004723B2"/>
    <w:rsid w:val="00474612"/>
    <w:rsid w:val="00475B9A"/>
    <w:rsid w:val="00477744"/>
    <w:rsid w:val="00477F36"/>
    <w:rsid w:val="00480FAA"/>
    <w:rsid w:val="00482403"/>
    <w:rsid w:val="004825DC"/>
    <w:rsid w:val="00484AEE"/>
    <w:rsid w:val="004865A6"/>
    <w:rsid w:val="00490D1B"/>
    <w:rsid w:val="004923A8"/>
    <w:rsid w:val="00493F4D"/>
    <w:rsid w:val="00494346"/>
    <w:rsid w:val="004964BA"/>
    <w:rsid w:val="00497BD3"/>
    <w:rsid w:val="004A01D6"/>
    <w:rsid w:val="004A0ABC"/>
    <w:rsid w:val="004A0C89"/>
    <w:rsid w:val="004A29BD"/>
    <w:rsid w:val="004A44E3"/>
    <w:rsid w:val="004A6CD4"/>
    <w:rsid w:val="004B0B30"/>
    <w:rsid w:val="004B0CD4"/>
    <w:rsid w:val="004B3D77"/>
    <w:rsid w:val="004B6984"/>
    <w:rsid w:val="004C34A5"/>
    <w:rsid w:val="004C4090"/>
    <w:rsid w:val="004C6AAB"/>
    <w:rsid w:val="004D0EA2"/>
    <w:rsid w:val="004E1322"/>
    <w:rsid w:val="004E2E18"/>
    <w:rsid w:val="004E3F5B"/>
    <w:rsid w:val="004E56FA"/>
    <w:rsid w:val="004E7766"/>
    <w:rsid w:val="004E7B15"/>
    <w:rsid w:val="004F0235"/>
    <w:rsid w:val="004F0779"/>
    <w:rsid w:val="004F12F3"/>
    <w:rsid w:val="004F776C"/>
    <w:rsid w:val="00502B1B"/>
    <w:rsid w:val="0050378C"/>
    <w:rsid w:val="00505E4C"/>
    <w:rsid w:val="00507457"/>
    <w:rsid w:val="005100E3"/>
    <w:rsid w:val="005101E0"/>
    <w:rsid w:val="005112B5"/>
    <w:rsid w:val="00511534"/>
    <w:rsid w:val="00512711"/>
    <w:rsid w:val="00512D60"/>
    <w:rsid w:val="00514D92"/>
    <w:rsid w:val="00514F7F"/>
    <w:rsid w:val="0051644F"/>
    <w:rsid w:val="005167A5"/>
    <w:rsid w:val="005167B9"/>
    <w:rsid w:val="005224CF"/>
    <w:rsid w:val="00523A9F"/>
    <w:rsid w:val="00523BC9"/>
    <w:rsid w:val="00524C49"/>
    <w:rsid w:val="00526B6A"/>
    <w:rsid w:val="00526E73"/>
    <w:rsid w:val="0052794F"/>
    <w:rsid w:val="00527EE4"/>
    <w:rsid w:val="005327CB"/>
    <w:rsid w:val="005329D7"/>
    <w:rsid w:val="00533D0B"/>
    <w:rsid w:val="005438DE"/>
    <w:rsid w:val="00543F3E"/>
    <w:rsid w:val="005448B9"/>
    <w:rsid w:val="00544B90"/>
    <w:rsid w:val="00546DE2"/>
    <w:rsid w:val="00551FA2"/>
    <w:rsid w:val="00553C00"/>
    <w:rsid w:val="00556482"/>
    <w:rsid w:val="005601EC"/>
    <w:rsid w:val="0056150E"/>
    <w:rsid w:val="005629B9"/>
    <w:rsid w:val="005635C7"/>
    <w:rsid w:val="005643F5"/>
    <w:rsid w:val="005657D6"/>
    <w:rsid w:val="005722E5"/>
    <w:rsid w:val="00572617"/>
    <w:rsid w:val="005751E2"/>
    <w:rsid w:val="00583F10"/>
    <w:rsid w:val="005852C0"/>
    <w:rsid w:val="00593A3B"/>
    <w:rsid w:val="00594CCD"/>
    <w:rsid w:val="0059521D"/>
    <w:rsid w:val="00595256"/>
    <w:rsid w:val="005A0DCD"/>
    <w:rsid w:val="005A2132"/>
    <w:rsid w:val="005A34E4"/>
    <w:rsid w:val="005A39EF"/>
    <w:rsid w:val="005A4532"/>
    <w:rsid w:val="005A5BD7"/>
    <w:rsid w:val="005A5C47"/>
    <w:rsid w:val="005A7873"/>
    <w:rsid w:val="005B25FB"/>
    <w:rsid w:val="005B3CD6"/>
    <w:rsid w:val="005C1DAC"/>
    <w:rsid w:val="005C21E2"/>
    <w:rsid w:val="005D1B4F"/>
    <w:rsid w:val="005D3B1A"/>
    <w:rsid w:val="005D3C90"/>
    <w:rsid w:val="005E0656"/>
    <w:rsid w:val="005E115C"/>
    <w:rsid w:val="005E67DE"/>
    <w:rsid w:val="005F6ECB"/>
    <w:rsid w:val="00603BDC"/>
    <w:rsid w:val="006072D4"/>
    <w:rsid w:val="00612AA2"/>
    <w:rsid w:val="00613068"/>
    <w:rsid w:val="00615B6E"/>
    <w:rsid w:val="006162DB"/>
    <w:rsid w:val="006209EA"/>
    <w:rsid w:val="00621658"/>
    <w:rsid w:val="006220F1"/>
    <w:rsid w:val="0062581E"/>
    <w:rsid w:val="0063234A"/>
    <w:rsid w:val="00633A0A"/>
    <w:rsid w:val="00643DAF"/>
    <w:rsid w:val="00647B2E"/>
    <w:rsid w:val="00655186"/>
    <w:rsid w:val="006566E8"/>
    <w:rsid w:val="006602BC"/>
    <w:rsid w:val="00661DDF"/>
    <w:rsid w:val="006625E2"/>
    <w:rsid w:val="00663CD3"/>
    <w:rsid w:val="00665441"/>
    <w:rsid w:val="006677A2"/>
    <w:rsid w:val="00674705"/>
    <w:rsid w:val="00674A13"/>
    <w:rsid w:val="006756BE"/>
    <w:rsid w:val="00681E38"/>
    <w:rsid w:val="006825C9"/>
    <w:rsid w:val="00683373"/>
    <w:rsid w:val="00690DBC"/>
    <w:rsid w:val="006928FA"/>
    <w:rsid w:val="006939D4"/>
    <w:rsid w:val="00694392"/>
    <w:rsid w:val="00694916"/>
    <w:rsid w:val="006A2B80"/>
    <w:rsid w:val="006A61EC"/>
    <w:rsid w:val="006A7F0E"/>
    <w:rsid w:val="006B30FA"/>
    <w:rsid w:val="006B432C"/>
    <w:rsid w:val="006B483E"/>
    <w:rsid w:val="006B53FB"/>
    <w:rsid w:val="006C058B"/>
    <w:rsid w:val="006C155C"/>
    <w:rsid w:val="006C1CC9"/>
    <w:rsid w:val="006C285B"/>
    <w:rsid w:val="006C3D15"/>
    <w:rsid w:val="006C437E"/>
    <w:rsid w:val="006C520F"/>
    <w:rsid w:val="006D0478"/>
    <w:rsid w:val="006D344F"/>
    <w:rsid w:val="006D6C6F"/>
    <w:rsid w:val="006E09A7"/>
    <w:rsid w:val="006E26C8"/>
    <w:rsid w:val="006E4B80"/>
    <w:rsid w:val="006E5340"/>
    <w:rsid w:val="006F2A6B"/>
    <w:rsid w:val="0070503E"/>
    <w:rsid w:val="0070728D"/>
    <w:rsid w:val="007156FF"/>
    <w:rsid w:val="007165EA"/>
    <w:rsid w:val="00716CAF"/>
    <w:rsid w:val="00716DEA"/>
    <w:rsid w:val="00723622"/>
    <w:rsid w:val="00724307"/>
    <w:rsid w:val="00736062"/>
    <w:rsid w:val="007432C6"/>
    <w:rsid w:val="0074349A"/>
    <w:rsid w:val="00747516"/>
    <w:rsid w:val="00752706"/>
    <w:rsid w:val="00754A50"/>
    <w:rsid w:val="00764278"/>
    <w:rsid w:val="0076497B"/>
    <w:rsid w:val="00770FAA"/>
    <w:rsid w:val="00773404"/>
    <w:rsid w:val="007754BD"/>
    <w:rsid w:val="00777715"/>
    <w:rsid w:val="0078067E"/>
    <w:rsid w:val="00785693"/>
    <w:rsid w:val="00785F88"/>
    <w:rsid w:val="00791862"/>
    <w:rsid w:val="00792E3B"/>
    <w:rsid w:val="00793826"/>
    <w:rsid w:val="00795207"/>
    <w:rsid w:val="00797430"/>
    <w:rsid w:val="007A2494"/>
    <w:rsid w:val="007A5032"/>
    <w:rsid w:val="007A5377"/>
    <w:rsid w:val="007A77FD"/>
    <w:rsid w:val="007A793F"/>
    <w:rsid w:val="007B1A9A"/>
    <w:rsid w:val="007B21B7"/>
    <w:rsid w:val="007B2B00"/>
    <w:rsid w:val="007B36A9"/>
    <w:rsid w:val="007B6703"/>
    <w:rsid w:val="007B6E74"/>
    <w:rsid w:val="007C098B"/>
    <w:rsid w:val="007C18AA"/>
    <w:rsid w:val="007C6264"/>
    <w:rsid w:val="007D44DF"/>
    <w:rsid w:val="007D66EF"/>
    <w:rsid w:val="007D6DD7"/>
    <w:rsid w:val="007E1BCE"/>
    <w:rsid w:val="007E2563"/>
    <w:rsid w:val="007E28E8"/>
    <w:rsid w:val="007E319B"/>
    <w:rsid w:val="007E4EC2"/>
    <w:rsid w:val="007E5B22"/>
    <w:rsid w:val="007E5F5E"/>
    <w:rsid w:val="007F12A3"/>
    <w:rsid w:val="007F1CFF"/>
    <w:rsid w:val="007F2C97"/>
    <w:rsid w:val="007F4D42"/>
    <w:rsid w:val="007F6981"/>
    <w:rsid w:val="007F776C"/>
    <w:rsid w:val="007F7EB8"/>
    <w:rsid w:val="00800037"/>
    <w:rsid w:val="00801170"/>
    <w:rsid w:val="008037CD"/>
    <w:rsid w:val="008040F5"/>
    <w:rsid w:val="008062E7"/>
    <w:rsid w:val="008160E7"/>
    <w:rsid w:val="00817918"/>
    <w:rsid w:val="00823A39"/>
    <w:rsid w:val="0082403E"/>
    <w:rsid w:val="00825886"/>
    <w:rsid w:val="008305A4"/>
    <w:rsid w:val="00831FAE"/>
    <w:rsid w:val="0083261D"/>
    <w:rsid w:val="00832A90"/>
    <w:rsid w:val="00833B74"/>
    <w:rsid w:val="0083505B"/>
    <w:rsid w:val="0084229B"/>
    <w:rsid w:val="00843094"/>
    <w:rsid w:val="0084580E"/>
    <w:rsid w:val="00852AF4"/>
    <w:rsid w:val="00852C30"/>
    <w:rsid w:val="0085441B"/>
    <w:rsid w:val="0085632F"/>
    <w:rsid w:val="00862438"/>
    <w:rsid w:val="008710FB"/>
    <w:rsid w:val="0087301D"/>
    <w:rsid w:val="00873499"/>
    <w:rsid w:val="00873B5B"/>
    <w:rsid w:val="00874C80"/>
    <w:rsid w:val="00875124"/>
    <w:rsid w:val="0088019B"/>
    <w:rsid w:val="008837BF"/>
    <w:rsid w:val="008869D1"/>
    <w:rsid w:val="00886BDD"/>
    <w:rsid w:val="00887F29"/>
    <w:rsid w:val="00893FEE"/>
    <w:rsid w:val="008952EC"/>
    <w:rsid w:val="008A3026"/>
    <w:rsid w:val="008A7018"/>
    <w:rsid w:val="008A70F8"/>
    <w:rsid w:val="008B3BCB"/>
    <w:rsid w:val="008B78CD"/>
    <w:rsid w:val="008C0824"/>
    <w:rsid w:val="008C3A17"/>
    <w:rsid w:val="008C6DA3"/>
    <w:rsid w:val="008C7FEA"/>
    <w:rsid w:val="008D1F92"/>
    <w:rsid w:val="008D490B"/>
    <w:rsid w:val="008E18DE"/>
    <w:rsid w:val="008E395F"/>
    <w:rsid w:val="008E48BB"/>
    <w:rsid w:val="008E5F02"/>
    <w:rsid w:val="008E61D5"/>
    <w:rsid w:val="008F3553"/>
    <w:rsid w:val="008F3A76"/>
    <w:rsid w:val="008F6582"/>
    <w:rsid w:val="00900674"/>
    <w:rsid w:val="00902E2D"/>
    <w:rsid w:val="00910098"/>
    <w:rsid w:val="00914006"/>
    <w:rsid w:val="00915D91"/>
    <w:rsid w:val="009171BA"/>
    <w:rsid w:val="00920505"/>
    <w:rsid w:val="00924EFE"/>
    <w:rsid w:val="00926227"/>
    <w:rsid w:val="0093008F"/>
    <w:rsid w:val="00943D98"/>
    <w:rsid w:val="00945774"/>
    <w:rsid w:val="009467A5"/>
    <w:rsid w:val="00951013"/>
    <w:rsid w:val="009524CD"/>
    <w:rsid w:val="00952FE0"/>
    <w:rsid w:val="00954AC1"/>
    <w:rsid w:val="00955017"/>
    <w:rsid w:val="009552B5"/>
    <w:rsid w:val="009559AB"/>
    <w:rsid w:val="009566A9"/>
    <w:rsid w:val="00956784"/>
    <w:rsid w:val="00956B41"/>
    <w:rsid w:val="00964677"/>
    <w:rsid w:val="009678FA"/>
    <w:rsid w:val="009709B3"/>
    <w:rsid w:val="00971A3E"/>
    <w:rsid w:val="009722F8"/>
    <w:rsid w:val="00972481"/>
    <w:rsid w:val="00974C6A"/>
    <w:rsid w:val="00975063"/>
    <w:rsid w:val="00977A70"/>
    <w:rsid w:val="00977E13"/>
    <w:rsid w:val="00985722"/>
    <w:rsid w:val="00985CB3"/>
    <w:rsid w:val="00985D72"/>
    <w:rsid w:val="00992EDB"/>
    <w:rsid w:val="00993B96"/>
    <w:rsid w:val="00997D06"/>
    <w:rsid w:val="009A461A"/>
    <w:rsid w:val="009A63E3"/>
    <w:rsid w:val="009A6922"/>
    <w:rsid w:val="009B0206"/>
    <w:rsid w:val="009B04F5"/>
    <w:rsid w:val="009B24A4"/>
    <w:rsid w:val="009B3C88"/>
    <w:rsid w:val="009B6C60"/>
    <w:rsid w:val="009C1DA9"/>
    <w:rsid w:val="009C4FD3"/>
    <w:rsid w:val="009D0915"/>
    <w:rsid w:val="009D1E29"/>
    <w:rsid w:val="009D3BF3"/>
    <w:rsid w:val="009D501F"/>
    <w:rsid w:val="009D5757"/>
    <w:rsid w:val="009D78DF"/>
    <w:rsid w:val="009E1EBE"/>
    <w:rsid w:val="009E2105"/>
    <w:rsid w:val="009E2FAB"/>
    <w:rsid w:val="009E42EE"/>
    <w:rsid w:val="009E67A4"/>
    <w:rsid w:val="009E75F3"/>
    <w:rsid w:val="009F028B"/>
    <w:rsid w:val="009F175B"/>
    <w:rsid w:val="009F2418"/>
    <w:rsid w:val="009F3037"/>
    <w:rsid w:val="009F36DE"/>
    <w:rsid w:val="009F664A"/>
    <w:rsid w:val="009F6941"/>
    <w:rsid w:val="00A01558"/>
    <w:rsid w:val="00A02240"/>
    <w:rsid w:val="00A028AA"/>
    <w:rsid w:val="00A03CD0"/>
    <w:rsid w:val="00A119F8"/>
    <w:rsid w:val="00A139D2"/>
    <w:rsid w:val="00A15FDF"/>
    <w:rsid w:val="00A1644A"/>
    <w:rsid w:val="00A20896"/>
    <w:rsid w:val="00A22845"/>
    <w:rsid w:val="00A22B07"/>
    <w:rsid w:val="00A22E0B"/>
    <w:rsid w:val="00A25091"/>
    <w:rsid w:val="00A27D6D"/>
    <w:rsid w:val="00A31B2B"/>
    <w:rsid w:val="00A342D7"/>
    <w:rsid w:val="00A35663"/>
    <w:rsid w:val="00A40163"/>
    <w:rsid w:val="00A408B1"/>
    <w:rsid w:val="00A413C3"/>
    <w:rsid w:val="00A4292D"/>
    <w:rsid w:val="00A45EBD"/>
    <w:rsid w:val="00A54DA0"/>
    <w:rsid w:val="00A556B1"/>
    <w:rsid w:val="00A57391"/>
    <w:rsid w:val="00A62EF5"/>
    <w:rsid w:val="00A63F1A"/>
    <w:rsid w:val="00A656F3"/>
    <w:rsid w:val="00A71BB9"/>
    <w:rsid w:val="00A7486B"/>
    <w:rsid w:val="00A74EB5"/>
    <w:rsid w:val="00A8384D"/>
    <w:rsid w:val="00A8392C"/>
    <w:rsid w:val="00A84549"/>
    <w:rsid w:val="00A86B64"/>
    <w:rsid w:val="00A86FE1"/>
    <w:rsid w:val="00A87D2B"/>
    <w:rsid w:val="00A9086A"/>
    <w:rsid w:val="00A93E7F"/>
    <w:rsid w:val="00A94C82"/>
    <w:rsid w:val="00A95C96"/>
    <w:rsid w:val="00AA1658"/>
    <w:rsid w:val="00AA1809"/>
    <w:rsid w:val="00AA3675"/>
    <w:rsid w:val="00AB012E"/>
    <w:rsid w:val="00AB038D"/>
    <w:rsid w:val="00AB3DFA"/>
    <w:rsid w:val="00AB491D"/>
    <w:rsid w:val="00AB4E48"/>
    <w:rsid w:val="00AB5768"/>
    <w:rsid w:val="00AC163B"/>
    <w:rsid w:val="00AC3812"/>
    <w:rsid w:val="00AC6DE0"/>
    <w:rsid w:val="00AD05DB"/>
    <w:rsid w:val="00AD251E"/>
    <w:rsid w:val="00AD2C45"/>
    <w:rsid w:val="00AD5F38"/>
    <w:rsid w:val="00AD64DB"/>
    <w:rsid w:val="00AE721B"/>
    <w:rsid w:val="00AF07BF"/>
    <w:rsid w:val="00AF2B9B"/>
    <w:rsid w:val="00AF4990"/>
    <w:rsid w:val="00AF5273"/>
    <w:rsid w:val="00B012FE"/>
    <w:rsid w:val="00B02CFD"/>
    <w:rsid w:val="00B02F22"/>
    <w:rsid w:val="00B064ED"/>
    <w:rsid w:val="00B07B21"/>
    <w:rsid w:val="00B11F6F"/>
    <w:rsid w:val="00B12AC0"/>
    <w:rsid w:val="00B133AE"/>
    <w:rsid w:val="00B1491E"/>
    <w:rsid w:val="00B15C6F"/>
    <w:rsid w:val="00B177DD"/>
    <w:rsid w:val="00B23675"/>
    <w:rsid w:val="00B25AA7"/>
    <w:rsid w:val="00B26600"/>
    <w:rsid w:val="00B27B15"/>
    <w:rsid w:val="00B27F89"/>
    <w:rsid w:val="00B30E37"/>
    <w:rsid w:val="00B361D1"/>
    <w:rsid w:val="00B3625E"/>
    <w:rsid w:val="00B36C80"/>
    <w:rsid w:val="00B3704A"/>
    <w:rsid w:val="00B4029A"/>
    <w:rsid w:val="00B41AE9"/>
    <w:rsid w:val="00B42BF7"/>
    <w:rsid w:val="00B44776"/>
    <w:rsid w:val="00B44F98"/>
    <w:rsid w:val="00B45553"/>
    <w:rsid w:val="00B47251"/>
    <w:rsid w:val="00B47C36"/>
    <w:rsid w:val="00B502B7"/>
    <w:rsid w:val="00B50415"/>
    <w:rsid w:val="00B50E66"/>
    <w:rsid w:val="00B51573"/>
    <w:rsid w:val="00B5208A"/>
    <w:rsid w:val="00B53AE4"/>
    <w:rsid w:val="00B54F35"/>
    <w:rsid w:val="00B63039"/>
    <w:rsid w:val="00B64422"/>
    <w:rsid w:val="00B64BB3"/>
    <w:rsid w:val="00B64E84"/>
    <w:rsid w:val="00B667F3"/>
    <w:rsid w:val="00B67B5C"/>
    <w:rsid w:val="00B700F7"/>
    <w:rsid w:val="00B70356"/>
    <w:rsid w:val="00B71750"/>
    <w:rsid w:val="00B743F9"/>
    <w:rsid w:val="00B755A9"/>
    <w:rsid w:val="00B766DE"/>
    <w:rsid w:val="00B81283"/>
    <w:rsid w:val="00B8281D"/>
    <w:rsid w:val="00B82A74"/>
    <w:rsid w:val="00B8429F"/>
    <w:rsid w:val="00B84AF1"/>
    <w:rsid w:val="00B90B91"/>
    <w:rsid w:val="00B954C8"/>
    <w:rsid w:val="00B95D3C"/>
    <w:rsid w:val="00B975F9"/>
    <w:rsid w:val="00B97BC5"/>
    <w:rsid w:val="00BA77DA"/>
    <w:rsid w:val="00BB211C"/>
    <w:rsid w:val="00BB21A9"/>
    <w:rsid w:val="00BB2561"/>
    <w:rsid w:val="00BB30A0"/>
    <w:rsid w:val="00BC34F3"/>
    <w:rsid w:val="00BC6425"/>
    <w:rsid w:val="00BC70EA"/>
    <w:rsid w:val="00BD058D"/>
    <w:rsid w:val="00BD56AF"/>
    <w:rsid w:val="00BD62D1"/>
    <w:rsid w:val="00BD6CEE"/>
    <w:rsid w:val="00BE070D"/>
    <w:rsid w:val="00BE1E77"/>
    <w:rsid w:val="00BF085D"/>
    <w:rsid w:val="00BF096A"/>
    <w:rsid w:val="00C019D8"/>
    <w:rsid w:val="00C1027E"/>
    <w:rsid w:val="00C10BDE"/>
    <w:rsid w:val="00C110A2"/>
    <w:rsid w:val="00C133F1"/>
    <w:rsid w:val="00C179B8"/>
    <w:rsid w:val="00C20133"/>
    <w:rsid w:val="00C204B5"/>
    <w:rsid w:val="00C20F96"/>
    <w:rsid w:val="00C25FC1"/>
    <w:rsid w:val="00C27611"/>
    <w:rsid w:val="00C32F25"/>
    <w:rsid w:val="00C32F75"/>
    <w:rsid w:val="00C3556E"/>
    <w:rsid w:val="00C37348"/>
    <w:rsid w:val="00C479DB"/>
    <w:rsid w:val="00C50F14"/>
    <w:rsid w:val="00C5573F"/>
    <w:rsid w:val="00C61B3D"/>
    <w:rsid w:val="00C62174"/>
    <w:rsid w:val="00C64B05"/>
    <w:rsid w:val="00C65F3F"/>
    <w:rsid w:val="00C6796B"/>
    <w:rsid w:val="00C709F6"/>
    <w:rsid w:val="00C7523F"/>
    <w:rsid w:val="00C754E6"/>
    <w:rsid w:val="00C766A2"/>
    <w:rsid w:val="00C76B5A"/>
    <w:rsid w:val="00C76BA9"/>
    <w:rsid w:val="00C81087"/>
    <w:rsid w:val="00C813B0"/>
    <w:rsid w:val="00C82915"/>
    <w:rsid w:val="00C82E93"/>
    <w:rsid w:val="00C857A6"/>
    <w:rsid w:val="00C928E5"/>
    <w:rsid w:val="00C930B7"/>
    <w:rsid w:val="00C96003"/>
    <w:rsid w:val="00C96F30"/>
    <w:rsid w:val="00CA0E5D"/>
    <w:rsid w:val="00CA1148"/>
    <w:rsid w:val="00CA1B43"/>
    <w:rsid w:val="00CA35F5"/>
    <w:rsid w:val="00CA5D7D"/>
    <w:rsid w:val="00CA7FD2"/>
    <w:rsid w:val="00CB17A0"/>
    <w:rsid w:val="00CB4027"/>
    <w:rsid w:val="00CC01BE"/>
    <w:rsid w:val="00CC0CF5"/>
    <w:rsid w:val="00CC4241"/>
    <w:rsid w:val="00CC5753"/>
    <w:rsid w:val="00CC6CE0"/>
    <w:rsid w:val="00CC7E37"/>
    <w:rsid w:val="00CC7F80"/>
    <w:rsid w:val="00CD1107"/>
    <w:rsid w:val="00CD17EB"/>
    <w:rsid w:val="00CD1BEE"/>
    <w:rsid w:val="00CD2DFF"/>
    <w:rsid w:val="00CD31E2"/>
    <w:rsid w:val="00CD6ECA"/>
    <w:rsid w:val="00CE0576"/>
    <w:rsid w:val="00CE2116"/>
    <w:rsid w:val="00CE3C11"/>
    <w:rsid w:val="00CE530C"/>
    <w:rsid w:val="00CE57F5"/>
    <w:rsid w:val="00CF2BCE"/>
    <w:rsid w:val="00CF4BDE"/>
    <w:rsid w:val="00CF5003"/>
    <w:rsid w:val="00D00A0C"/>
    <w:rsid w:val="00D02DC5"/>
    <w:rsid w:val="00D0437F"/>
    <w:rsid w:val="00D07A3D"/>
    <w:rsid w:val="00D12A5D"/>
    <w:rsid w:val="00D14C15"/>
    <w:rsid w:val="00D16A4A"/>
    <w:rsid w:val="00D222CE"/>
    <w:rsid w:val="00D22AFC"/>
    <w:rsid w:val="00D25492"/>
    <w:rsid w:val="00D300F1"/>
    <w:rsid w:val="00D3361B"/>
    <w:rsid w:val="00D36518"/>
    <w:rsid w:val="00D42A1A"/>
    <w:rsid w:val="00D43A2D"/>
    <w:rsid w:val="00D45D34"/>
    <w:rsid w:val="00D46548"/>
    <w:rsid w:val="00D46A5A"/>
    <w:rsid w:val="00D46FAD"/>
    <w:rsid w:val="00D5150C"/>
    <w:rsid w:val="00D51908"/>
    <w:rsid w:val="00D53FD6"/>
    <w:rsid w:val="00D609F0"/>
    <w:rsid w:val="00D6248C"/>
    <w:rsid w:val="00D637C7"/>
    <w:rsid w:val="00D6747C"/>
    <w:rsid w:val="00D67B23"/>
    <w:rsid w:val="00D73D76"/>
    <w:rsid w:val="00D74622"/>
    <w:rsid w:val="00D758D2"/>
    <w:rsid w:val="00D75D8C"/>
    <w:rsid w:val="00D817F6"/>
    <w:rsid w:val="00D82568"/>
    <w:rsid w:val="00D85F4E"/>
    <w:rsid w:val="00D86135"/>
    <w:rsid w:val="00D87686"/>
    <w:rsid w:val="00D904E6"/>
    <w:rsid w:val="00D934D0"/>
    <w:rsid w:val="00D948DC"/>
    <w:rsid w:val="00DA5E18"/>
    <w:rsid w:val="00DA7355"/>
    <w:rsid w:val="00DA7D52"/>
    <w:rsid w:val="00DB10FD"/>
    <w:rsid w:val="00DB24D8"/>
    <w:rsid w:val="00DB3F6D"/>
    <w:rsid w:val="00DB4B65"/>
    <w:rsid w:val="00DB6600"/>
    <w:rsid w:val="00DB7417"/>
    <w:rsid w:val="00DC044A"/>
    <w:rsid w:val="00DC0FD9"/>
    <w:rsid w:val="00DC4F86"/>
    <w:rsid w:val="00DC5ABB"/>
    <w:rsid w:val="00DD2F2A"/>
    <w:rsid w:val="00DD5903"/>
    <w:rsid w:val="00DE0974"/>
    <w:rsid w:val="00DE1DA2"/>
    <w:rsid w:val="00DE6297"/>
    <w:rsid w:val="00DE6D60"/>
    <w:rsid w:val="00DF48FE"/>
    <w:rsid w:val="00DF4C5D"/>
    <w:rsid w:val="00DF6F83"/>
    <w:rsid w:val="00E01A08"/>
    <w:rsid w:val="00E03AFF"/>
    <w:rsid w:val="00E14EC1"/>
    <w:rsid w:val="00E15583"/>
    <w:rsid w:val="00E16424"/>
    <w:rsid w:val="00E169B2"/>
    <w:rsid w:val="00E2278B"/>
    <w:rsid w:val="00E23115"/>
    <w:rsid w:val="00E23C8C"/>
    <w:rsid w:val="00E26915"/>
    <w:rsid w:val="00E30B85"/>
    <w:rsid w:val="00E34466"/>
    <w:rsid w:val="00E348FC"/>
    <w:rsid w:val="00E359AA"/>
    <w:rsid w:val="00E4013E"/>
    <w:rsid w:val="00E4072B"/>
    <w:rsid w:val="00E41433"/>
    <w:rsid w:val="00E428ED"/>
    <w:rsid w:val="00E42AD7"/>
    <w:rsid w:val="00E50CF9"/>
    <w:rsid w:val="00E51BE6"/>
    <w:rsid w:val="00E525D9"/>
    <w:rsid w:val="00E5435D"/>
    <w:rsid w:val="00E54DC6"/>
    <w:rsid w:val="00E61547"/>
    <w:rsid w:val="00E629F2"/>
    <w:rsid w:val="00E62AC3"/>
    <w:rsid w:val="00E63311"/>
    <w:rsid w:val="00E64204"/>
    <w:rsid w:val="00E67D39"/>
    <w:rsid w:val="00E7051E"/>
    <w:rsid w:val="00E74545"/>
    <w:rsid w:val="00E74B30"/>
    <w:rsid w:val="00E74E49"/>
    <w:rsid w:val="00E750FC"/>
    <w:rsid w:val="00E75C61"/>
    <w:rsid w:val="00E766FE"/>
    <w:rsid w:val="00E77729"/>
    <w:rsid w:val="00E84A4D"/>
    <w:rsid w:val="00E91265"/>
    <w:rsid w:val="00E937C3"/>
    <w:rsid w:val="00E950DD"/>
    <w:rsid w:val="00E959AD"/>
    <w:rsid w:val="00E97BBA"/>
    <w:rsid w:val="00EA3ADF"/>
    <w:rsid w:val="00EA3FA6"/>
    <w:rsid w:val="00EA4088"/>
    <w:rsid w:val="00EA40E3"/>
    <w:rsid w:val="00EA5191"/>
    <w:rsid w:val="00EB185C"/>
    <w:rsid w:val="00EB3E7C"/>
    <w:rsid w:val="00EB459D"/>
    <w:rsid w:val="00EB5583"/>
    <w:rsid w:val="00EB5E1E"/>
    <w:rsid w:val="00EC2706"/>
    <w:rsid w:val="00EC2A92"/>
    <w:rsid w:val="00EC2BCA"/>
    <w:rsid w:val="00ED10D8"/>
    <w:rsid w:val="00ED52B7"/>
    <w:rsid w:val="00ED6A70"/>
    <w:rsid w:val="00EE02BB"/>
    <w:rsid w:val="00EE5C84"/>
    <w:rsid w:val="00EF455A"/>
    <w:rsid w:val="00EF58B1"/>
    <w:rsid w:val="00EF77E4"/>
    <w:rsid w:val="00EF7895"/>
    <w:rsid w:val="00F019BD"/>
    <w:rsid w:val="00F030EC"/>
    <w:rsid w:val="00F05222"/>
    <w:rsid w:val="00F05281"/>
    <w:rsid w:val="00F07310"/>
    <w:rsid w:val="00F1004B"/>
    <w:rsid w:val="00F10374"/>
    <w:rsid w:val="00F15697"/>
    <w:rsid w:val="00F16FA1"/>
    <w:rsid w:val="00F1734A"/>
    <w:rsid w:val="00F174DB"/>
    <w:rsid w:val="00F23DDB"/>
    <w:rsid w:val="00F257B4"/>
    <w:rsid w:val="00F26B2E"/>
    <w:rsid w:val="00F27338"/>
    <w:rsid w:val="00F304E7"/>
    <w:rsid w:val="00F34D08"/>
    <w:rsid w:val="00F35A98"/>
    <w:rsid w:val="00F372E2"/>
    <w:rsid w:val="00F377D3"/>
    <w:rsid w:val="00F41AEA"/>
    <w:rsid w:val="00F447B5"/>
    <w:rsid w:val="00F44EAD"/>
    <w:rsid w:val="00F4659D"/>
    <w:rsid w:val="00F47EAF"/>
    <w:rsid w:val="00F50279"/>
    <w:rsid w:val="00F50824"/>
    <w:rsid w:val="00F50BE8"/>
    <w:rsid w:val="00F50C8E"/>
    <w:rsid w:val="00F53463"/>
    <w:rsid w:val="00F55E0B"/>
    <w:rsid w:val="00F56575"/>
    <w:rsid w:val="00F63A63"/>
    <w:rsid w:val="00F66979"/>
    <w:rsid w:val="00F7748B"/>
    <w:rsid w:val="00F85174"/>
    <w:rsid w:val="00F857A8"/>
    <w:rsid w:val="00F8738C"/>
    <w:rsid w:val="00F914D6"/>
    <w:rsid w:val="00F95A37"/>
    <w:rsid w:val="00F9603C"/>
    <w:rsid w:val="00F963F3"/>
    <w:rsid w:val="00FA05AD"/>
    <w:rsid w:val="00FA20DE"/>
    <w:rsid w:val="00FB2EB6"/>
    <w:rsid w:val="00FB5E2C"/>
    <w:rsid w:val="00FB7903"/>
    <w:rsid w:val="00FC018A"/>
    <w:rsid w:val="00FC0DD2"/>
    <w:rsid w:val="00FC26C5"/>
    <w:rsid w:val="00FC3FAE"/>
    <w:rsid w:val="00FC5D1C"/>
    <w:rsid w:val="00FC5DBE"/>
    <w:rsid w:val="00FC6AEF"/>
    <w:rsid w:val="00FC6F0D"/>
    <w:rsid w:val="00FC796C"/>
    <w:rsid w:val="00FD245E"/>
    <w:rsid w:val="00FD793E"/>
    <w:rsid w:val="00FE1163"/>
    <w:rsid w:val="00FE44EA"/>
    <w:rsid w:val="00FE7A7D"/>
    <w:rsid w:val="00FF08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68D211"/>
  <w15:docId w15:val="{6160F146-493C-4F7D-B9F5-1A713BAE6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Cs w:val="4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10BDE"/>
    <w:pPr>
      <w:spacing w:before="120"/>
    </w:pPr>
  </w:style>
  <w:style w:type="paragraph" w:styleId="Heading1">
    <w:name w:val="heading 1"/>
    <w:basedOn w:val="Normal"/>
    <w:next w:val="Normal"/>
    <w:link w:val="Heading1Char"/>
    <w:uiPriority w:val="9"/>
    <w:rsid w:val="00D82568"/>
    <w:pPr>
      <w:keepNext/>
      <w:keepLines/>
      <w:spacing w:before="240"/>
      <w:outlineLvl w:val="0"/>
    </w:pPr>
    <w:rPr>
      <w:rFonts w:asciiTheme="majorHAnsi" w:eastAsiaTheme="majorEastAsia" w:hAnsiTheme="majorHAnsi" w:cstheme="majorBidi"/>
      <w:color w:val="009872" w:themeColor="accent1" w:themeShade="BF"/>
      <w:sz w:val="32"/>
      <w:szCs w:val="32"/>
    </w:rPr>
  </w:style>
  <w:style w:type="paragraph" w:styleId="Heading2">
    <w:name w:val="heading 2"/>
    <w:basedOn w:val="Normal"/>
    <w:next w:val="Normal"/>
    <w:link w:val="Heading2Char"/>
    <w:uiPriority w:val="9"/>
    <w:semiHidden/>
    <w:unhideWhenUsed/>
    <w:rsid w:val="00D82568"/>
    <w:pPr>
      <w:keepNext/>
      <w:keepLines/>
      <w:spacing w:before="40"/>
      <w:outlineLvl w:val="1"/>
    </w:pPr>
    <w:rPr>
      <w:rFonts w:asciiTheme="majorHAnsi" w:eastAsiaTheme="majorEastAsia" w:hAnsiTheme="majorHAnsi" w:cstheme="majorBidi"/>
      <w:color w:val="00987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rsid w:val="0083261D"/>
    <w:pPr>
      <w:pBdr>
        <w:top w:val="single" w:sz="4" w:space="10" w:color="00CC99" w:themeColor="accent1"/>
        <w:bottom w:val="single" w:sz="4" w:space="10" w:color="00CC99" w:themeColor="accent1"/>
      </w:pBdr>
      <w:spacing w:before="360" w:after="360"/>
      <w:ind w:left="864" w:right="864"/>
      <w:jc w:val="center"/>
    </w:pPr>
    <w:rPr>
      <w:i/>
      <w:iCs/>
      <w:color w:val="00CC99" w:themeColor="accent1"/>
    </w:rPr>
  </w:style>
  <w:style w:type="character" w:customStyle="1" w:styleId="IntenseQuoteChar">
    <w:name w:val="Intense Quote Char"/>
    <w:basedOn w:val="DefaultParagraphFont"/>
    <w:link w:val="IntenseQuote"/>
    <w:uiPriority w:val="30"/>
    <w:rsid w:val="0083261D"/>
    <w:rPr>
      <w:rFonts w:ascii="Helvetica" w:eastAsia="Helvetica" w:hAnsi="Helvetica" w:cs="Times New Roman"/>
      <w:i/>
      <w:iCs/>
      <w:noProof/>
      <w:color w:val="00CC99" w:themeColor="accent1"/>
    </w:rPr>
  </w:style>
  <w:style w:type="paragraph" w:styleId="Footer">
    <w:name w:val="footer"/>
    <w:basedOn w:val="Normal"/>
    <w:link w:val="FooterChar"/>
    <w:uiPriority w:val="99"/>
    <w:unhideWhenUsed/>
    <w:qFormat/>
    <w:rsid w:val="001C7F6D"/>
    <w:pPr>
      <w:tabs>
        <w:tab w:val="center" w:pos="4680"/>
        <w:tab w:val="right" w:pos="9360"/>
      </w:tabs>
    </w:pPr>
    <w:rPr>
      <w:color w:val="616365" w:themeColor="text2"/>
      <w:sz w:val="12"/>
    </w:rPr>
  </w:style>
  <w:style w:type="character" w:customStyle="1" w:styleId="FooterChar">
    <w:name w:val="Footer Char"/>
    <w:basedOn w:val="DefaultParagraphFont"/>
    <w:link w:val="Footer"/>
    <w:uiPriority w:val="99"/>
    <w:rsid w:val="001C7F6D"/>
    <w:rPr>
      <w:rFonts w:ascii="Arial" w:hAnsi="Arial"/>
      <w:color w:val="616365" w:themeColor="text2"/>
      <w:sz w:val="12"/>
      <w:szCs w:val="40"/>
    </w:rPr>
  </w:style>
  <w:style w:type="paragraph" w:styleId="Title">
    <w:name w:val="Title"/>
    <w:basedOn w:val="Normal"/>
    <w:next w:val="Normal"/>
    <w:link w:val="TitleChar"/>
    <w:uiPriority w:val="10"/>
    <w:qFormat/>
    <w:rsid w:val="00C76B5A"/>
    <w:rPr>
      <w:b/>
      <w:sz w:val="40"/>
    </w:rPr>
  </w:style>
  <w:style w:type="character" w:customStyle="1" w:styleId="TitleChar">
    <w:name w:val="Title Char"/>
    <w:basedOn w:val="DefaultParagraphFont"/>
    <w:link w:val="Title"/>
    <w:uiPriority w:val="10"/>
    <w:rsid w:val="00C76B5A"/>
    <w:rPr>
      <w:rFonts w:ascii="Arial" w:hAnsi="Arial"/>
      <w:b/>
      <w:sz w:val="40"/>
      <w:szCs w:val="40"/>
    </w:rPr>
  </w:style>
  <w:style w:type="character" w:customStyle="1" w:styleId="Heading1Char">
    <w:name w:val="Heading 1 Char"/>
    <w:basedOn w:val="DefaultParagraphFont"/>
    <w:link w:val="Heading1"/>
    <w:uiPriority w:val="9"/>
    <w:rsid w:val="00D82568"/>
    <w:rPr>
      <w:rFonts w:asciiTheme="majorHAnsi" w:eastAsiaTheme="majorEastAsia" w:hAnsiTheme="majorHAnsi" w:cstheme="majorBidi"/>
      <w:color w:val="009872" w:themeColor="accent1" w:themeShade="BF"/>
      <w:sz w:val="32"/>
      <w:szCs w:val="32"/>
    </w:rPr>
  </w:style>
  <w:style w:type="paragraph" w:styleId="Subtitle">
    <w:name w:val="Subtitle"/>
    <w:basedOn w:val="Normal"/>
    <w:next w:val="Normal"/>
    <w:link w:val="SubtitleChar"/>
    <w:uiPriority w:val="11"/>
    <w:qFormat/>
    <w:rsid w:val="00C76B5A"/>
    <w:rPr>
      <w:sz w:val="40"/>
    </w:rPr>
  </w:style>
  <w:style w:type="character" w:customStyle="1" w:styleId="SubtitleChar">
    <w:name w:val="Subtitle Char"/>
    <w:basedOn w:val="DefaultParagraphFont"/>
    <w:link w:val="Subtitle"/>
    <w:uiPriority w:val="11"/>
    <w:rsid w:val="00C76B5A"/>
    <w:rPr>
      <w:rFonts w:ascii="Arial" w:hAnsi="Arial"/>
      <w:sz w:val="40"/>
      <w:szCs w:val="40"/>
    </w:rPr>
  </w:style>
  <w:style w:type="character" w:styleId="SubtleReference">
    <w:name w:val="Subtle Reference"/>
    <w:basedOn w:val="DefaultParagraphFont"/>
    <w:uiPriority w:val="31"/>
    <w:rsid w:val="0083261D"/>
    <w:rPr>
      <w:smallCaps/>
      <w:color w:val="5A5A5A" w:themeColor="text1" w:themeTint="A5"/>
    </w:rPr>
  </w:style>
  <w:style w:type="character" w:customStyle="1" w:styleId="Heading2Char">
    <w:name w:val="Heading 2 Char"/>
    <w:basedOn w:val="DefaultParagraphFont"/>
    <w:link w:val="Heading2"/>
    <w:uiPriority w:val="9"/>
    <w:semiHidden/>
    <w:rsid w:val="00D82568"/>
    <w:rPr>
      <w:rFonts w:asciiTheme="majorHAnsi" w:eastAsiaTheme="majorEastAsia" w:hAnsiTheme="majorHAnsi" w:cstheme="majorBidi"/>
      <w:color w:val="009872" w:themeColor="accent1" w:themeShade="BF"/>
      <w:sz w:val="26"/>
      <w:szCs w:val="26"/>
    </w:rPr>
  </w:style>
  <w:style w:type="paragraph" w:styleId="Quote">
    <w:name w:val="Quote"/>
    <w:basedOn w:val="Normal"/>
    <w:next w:val="Normal"/>
    <w:link w:val="QuoteChar"/>
    <w:uiPriority w:val="29"/>
    <w:rsid w:val="00D825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82568"/>
    <w:rPr>
      <w:i/>
      <w:iCs/>
      <w:color w:val="404040" w:themeColor="text1" w:themeTint="BF"/>
    </w:rPr>
  </w:style>
  <w:style w:type="character" w:styleId="IntenseReference">
    <w:name w:val="Intense Reference"/>
    <w:basedOn w:val="DefaultParagraphFont"/>
    <w:uiPriority w:val="32"/>
    <w:rsid w:val="0083261D"/>
    <w:rPr>
      <w:b/>
      <w:bCs/>
      <w:smallCaps/>
      <w:color w:val="00CC99" w:themeColor="accent1"/>
      <w:spacing w:val="5"/>
    </w:rPr>
  </w:style>
  <w:style w:type="paragraph" w:styleId="ListParagraph">
    <w:name w:val="List Paragraph"/>
    <w:basedOn w:val="Normal"/>
    <w:uiPriority w:val="34"/>
    <w:rsid w:val="0083261D"/>
    <w:pPr>
      <w:contextualSpacing/>
    </w:pPr>
  </w:style>
  <w:style w:type="character" w:styleId="BookTitle">
    <w:name w:val="Book Title"/>
    <w:basedOn w:val="DefaultParagraphFont"/>
    <w:uiPriority w:val="33"/>
    <w:rsid w:val="0083261D"/>
    <w:rPr>
      <w:b/>
      <w:bCs/>
      <w:i/>
      <w:iCs/>
      <w:spacing w:val="5"/>
    </w:rPr>
  </w:style>
  <w:style w:type="paragraph" w:styleId="NoSpacing">
    <w:name w:val="No Spacing"/>
    <w:uiPriority w:val="1"/>
    <w:rsid w:val="0083261D"/>
    <w:rPr>
      <w:rFonts w:ascii="Helvetica" w:eastAsia="Helvetica" w:hAnsi="Helvetica" w:cs="Times New Roman"/>
      <w:noProof/>
    </w:rPr>
  </w:style>
  <w:style w:type="paragraph" w:styleId="BodyText">
    <w:name w:val="Body Text"/>
    <w:aliases w:val="Body Text Title"/>
    <w:basedOn w:val="Normal"/>
    <w:next w:val="Normal"/>
    <w:link w:val="BodyTextChar"/>
    <w:uiPriority w:val="99"/>
    <w:unhideWhenUsed/>
    <w:qFormat/>
    <w:rsid w:val="00C76B5A"/>
    <w:rPr>
      <w:b/>
      <w:bCs/>
      <w:caps/>
      <w:szCs w:val="20"/>
    </w:rPr>
  </w:style>
  <w:style w:type="character" w:customStyle="1" w:styleId="BodyTextChar">
    <w:name w:val="Body Text Char"/>
    <w:aliases w:val="Body Text Title Char"/>
    <w:basedOn w:val="DefaultParagraphFont"/>
    <w:link w:val="BodyText"/>
    <w:uiPriority w:val="99"/>
    <w:rsid w:val="00C76B5A"/>
    <w:rPr>
      <w:rFonts w:ascii="Arial" w:hAnsi="Arial"/>
      <w:b/>
      <w:bCs/>
      <w:caps/>
      <w:sz w:val="20"/>
      <w:szCs w:val="20"/>
    </w:rPr>
  </w:style>
  <w:style w:type="paragraph" w:styleId="ListBullet">
    <w:name w:val="List Bullet"/>
    <w:basedOn w:val="Normal"/>
    <w:uiPriority w:val="99"/>
    <w:semiHidden/>
    <w:unhideWhenUsed/>
    <w:rsid w:val="002726A6"/>
    <w:pPr>
      <w:numPr>
        <w:numId w:val="11"/>
      </w:numPr>
      <w:contextualSpacing/>
    </w:pPr>
  </w:style>
  <w:style w:type="paragraph" w:styleId="Index1">
    <w:name w:val="index 1"/>
    <w:basedOn w:val="Normal"/>
    <w:next w:val="Normal"/>
    <w:autoRedefine/>
    <w:uiPriority w:val="99"/>
    <w:unhideWhenUsed/>
    <w:rsid w:val="000F0431"/>
    <w:pPr>
      <w:framePr w:hSpace="180" w:wrap="around" w:vAnchor="text" w:hAnchor="margin" w:xAlign="right" w:y="263"/>
      <w:spacing w:before="0"/>
    </w:pPr>
    <w:rPr>
      <w:bCs/>
      <w:caps/>
      <w:color w:val="616365" w:themeColor="text2"/>
      <w:sz w:val="8"/>
      <w:szCs w:val="8"/>
    </w:rPr>
  </w:style>
  <w:style w:type="paragraph" w:styleId="IndexHeading">
    <w:name w:val="index heading"/>
    <w:aliases w:val="Figure Title"/>
    <w:basedOn w:val="Normal"/>
    <w:next w:val="Index1"/>
    <w:uiPriority w:val="99"/>
    <w:unhideWhenUsed/>
    <w:qFormat/>
    <w:rsid w:val="00C76B5A"/>
    <w:rPr>
      <w:b/>
    </w:rPr>
  </w:style>
  <w:style w:type="character" w:styleId="Emphasis">
    <w:name w:val="Emphasis"/>
    <w:basedOn w:val="DefaultParagraphFont"/>
    <w:uiPriority w:val="20"/>
    <w:rsid w:val="00C76B5A"/>
    <w:rPr>
      <w:i/>
      <w:iCs/>
    </w:rPr>
  </w:style>
  <w:style w:type="character" w:styleId="SubtleEmphasis">
    <w:name w:val="Subtle Emphasis"/>
    <w:basedOn w:val="DefaultParagraphFont"/>
    <w:uiPriority w:val="19"/>
    <w:rsid w:val="00C76B5A"/>
    <w:rPr>
      <w:i/>
      <w:iCs/>
      <w:color w:val="404040" w:themeColor="text1" w:themeTint="BF"/>
    </w:rPr>
  </w:style>
  <w:style w:type="character" w:styleId="Strong">
    <w:name w:val="Strong"/>
    <w:basedOn w:val="DefaultParagraphFont"/>
    <w:uiPriority w:val="22"/>
    <w:rsid w:val="00C76B5A"/>
    <w:rPr>
      <w:b/>
      <w:bCs/>
    </w:rPr>
  </w:style>
  <w:style w:type="character" w:styleId="IntenseEmphasis">
    <w:name w:val="Intense Emphasis"/>
    <w:basedOn w:val="DefaultParagraphFont"/>
    <w:uiPriority w:val="21"/>
    <w:rsid w:val="00C76B5A"/>
    <w:rPr>
      <w:i/>
      <w:iCs/>
      <w:color w:val="00CC99" w:themeColor="accent1"/>
    </w:rPr>
  </w:style>
  <w:style w:type="paragraph" w:styleId="Caption">
    <w:name w:val="caption"/>
    <w:aliases w:val="Figure Caption"/>
    <w:basedOn w:val="Normal"/>
    <w:next w:val="Normal"/>
    <w:uiPriority w:val="35"/>
    <w:unhideWhenUsed/>
    <w:qFormat/>
    <w:rsid w:val="00AB4E48"/>
    <w:rPr>
      <w:iCs/>
      <w:color w:val="000000" w:themeColor="text1"/>
      <w:sz w:val="18"/>
      <w:szCs w:val="18"/>
    </w:rPr>
  </w:style>
  <w:style w:type="paragraph" w:styleId="BodyText2">
    <w:name w:val="Body Text 2"/>
    <w:aliases w:val="Body Text Sub Title"/>
    <w:basedOn w:val="Normal"/>
    <w:link w:val="BodyText2Char"/>
    <w:uiPriority w:val="99"/>
    <w:unhideWhenUsed/>
    <w:qFormat/>
    <w:rsid w:val="002A3B02"/>
    <w:pPr>
      <w:spacing w:before="240"/>
    </w:pPr>
    <w:rPr>
      <w:b/>
    </w:rPr>
  </w:style>
  <w:style w:type="character" w:customStyle="1" w:styleId="BodyText2Char">
    <w:name w:val="Body Text 2 Char"/>
    <w:aliases w:val="Body Text Sub Title Char"/>
    <w:basedOn w:val="DefaultParagraphFont"/>
    <w:link w:val="BodyText2"/>
    <w:uiPriority w:val="99"/>
    <w:rsid w:val="002A3B02"/>
    <w:rPr>
      <w:rFonts w:ascii="Arial" w:hAnsi="Arial"/>
      <w:b/>
      <w:sz w:val="20"/>
      <w:szCs w:val="40"/>
    </w:rPr>
  </w:style>
  <w:style w:type="paragraph" w:styleId="Header">
    <w:name w:val="header"/>
    <w:basedOn w:val="Normal"/>
    <w:link w:val="HeaderChar"/>
    <w:unhideWhenUsed/>
    <w:rsid w:val="000D4C67"/>
    <w:pPr>
      <w:tabs>
        <w:tab w:val="center" w:pos="4680"/>
        <w:tab w:val="right" w:pos="9360"/>
      </w:tabs>
      <w:spacing w:before="0"/>
    </w:pPr>
  </w:style>
  <w:style w:type="character" w:customStyle="1" w:styleId="HeaderChar">
    <w:name w:val="Header Char"/>
    <w:basedOn w:val="DefaultParagraphFont"/>
    <w:link w:val="Header"/>
    <w:uiPriority w:val="99"/>
    <w:rsid w:val="000D4C67"/>
    <w:rPr>
      <w:rFonts w:ascii="Arial" w:hAnsi="Arial"/>
      <w:sz w:val="20"/>
      <w:szCs w:val="40"/>
    </w:rPr>
  </w:style>
  <w:style w:type="paragraph" w:styleId="FootnoteText">
    <w:name w:val="footnote text"/>
    <w:basedOn w:val="Normal"/>
    <w:link w:val="FootnoteTextChar"/>
    <w:uiPriority w:val="99"/>
    <w:unhideWhenUsed/>
    <w:qFormat/>
    <w:rsid w:val="00311EB1"/>
    <w:pPr>
      <w:spacing w:before="0"/>
    </w:pPr>
    <w:rPr>
      <w:color w:val="616365" w:themeColor="text2"/>
      <w:sz w:val="16"/>
      <w:szCs w:val="24"/>
    </w:rPr>
  </w:style>
  <w:style w:type="character" w:customStyle="1" w:styleId="FootnoteTextChar">
    <w:name w:val="Footnote Text Char"/>
    <w:basedOn w:val="DefaultParagraphFont"/>
    <w:link w:val="FootnoteText"/>
    <w:uiPriority w:val="99"/>
    <w:rsid w:val="00311EB1"/>
    <w:rPr>
      <w:rFonts w:ascii="Arial" w:hAnsi="Arial"/>
      <w:color w:val="616365" w:themeColor="text2"/>
      <w:sz w:val="16"/>
    </w:rPr>
  </w:style>
  <w:style w:type="character" w:styleId="FootnoteReference">
    <w:name w:val="footnote reference"/>
    <w:basedOn w:val="DefaultParagraphFont"/>
    <w:uiPriority w:val="99"/>
    <w:unhideWhenUsed/>
    <w:rsid w:val="00523BC9"/>
    <w:rPr>
      <w:vertAlign w:val="superscript"/>
    </w:rPr>
  </w:style>
  <w:style w:type="character" w:styleId="PlaceholderText">
    <w:name w:val="Placeholder Text"/>
    <w:basedOn w:val="DefaultParagraphFont"/>
    <w:uiPriority w:val="99"/>
    <w:semiHidden/>
    <w:rsid w:val="001E0524"/>
    <w:rPr>
      <w:color w:val="808080"/>
    </w:rPr>
  </w:style>
  <w:style w:type="paragraph" w:styleId="NormalWeb">
    <w:name w:val="Normal (Web)"/>
    <w:basedOn w:val="Normal"/>
    <w:uiPriority w:val="99"/>
    <w:unhideWhenUsed/>
    <w:rsid w:val="00852AF4"/>
    <w:pPr>
      <w:spacing w:before="100" w:beforeAutospacing="1" w:after="100" w:afterAutospacing="1"/>
    </w:pPr>
    <w:rPr>
      <w:rFonts w:ascii="Times New Roman" w:eastAsia="Times New Roman" w:hAnsi="Times New Roman" w:cs="Times New Roman"/>
      <w:sz w:val="24"/>
      <w:szCs w:val="24"/>
      <w:lang w:val="en-CA" w:eastAsia="en-CA"/>
    </w:rPr>
  </w:style>
  <w:style w:type="paragraph" w:styleId="EndnoteText">
    <w:name w:val="endnote text"/>
    <w:basedOn w:val="Normal"/>
    <w:link w:val="EndnoteTextChar"/>
    <w:uiPriority w:val="99"/>
    <w:semiHidden/>
    <w:unhideWhenUsed/>
    <w:rsid w:val="001C7F6D"/>
    <w:pPr>
      <w:spacing w:before="0"/>
    </w:pPr>
    <w:rPr>
      <w:szCs w:val="20"/>
    </w:rPr>
  </w:style>
  <w:style w:type="character" w:customStyle="1" w:styleId="EndnoteTextChar">
    <w:name w:val="Endnote Text Char"/>
    <w:basedOn w:val="DefaultParagraphFont"/>
    <w:link w:val="EndnoteText"/>
    <w:uiPriority w:val="99"/>
    <w:semiHidden/>
    <w:rsid w:val="001C7F6D"/>
    <w:rPr>
      <w:rFonts w:ascii="Arial" w:hAnsi="Arial"/>
      <w:sz w:val="20"/>
      <w:szCs w:val="20"/>
    </w:rPr>
  </w:style>
  <w:style w:type="character" w:styleId="EndnoteReference">
    <w:name w:val="endnote reference"/>
    <w:basedOn w:val="DefaultParagraphFont"/>
    <w:uiPriority w:val="99"/>
    <w:semiHidden/>
    <w:unhideWhenUsed/>
    <w:rsid w:val="001C7F6D"/>
    <w:rPr>
      <w:vertAlign w:val="superscript"/>
    </w:rPr>
  </w:style>
  <w:style w:type="paragraph" w:styleId="BodyTextIndent">
    <w:name w:val="Body Text Indent"/>
    <w:basedOn w:val="Normal"/>
    <w:link w:val="BodyTextIndentChar"/>
    <w:uiPriority w:val="99"/>
    <w:unhideWhenUsed/>
    <w:rsid w:val="001C7F6D"/>
    <w:pPr>
      <w:spacing w:after="120"/>
      <w:ind w:left="283"/>
    </w:pPr>
  </w:style>
  <w:style w:type="character" w:customStyle="1" w:styleId="BodyTextIndentChar">
    <w:name w:val="Body Text Indent Char"/>
    <w:basedOn w:val="DefaultParagraphFont"/>
    <w:link w:val="BodyTextIndent"/>
    <w:uiPriority w:val="99"/>
    <w:rsid w:val="001C7F6D"/>
    <w:rPr>
      <w:rFonts w:ascii="Arial" w:hAnsi="Arial"/>
      <w:sz w:val="20"/>
      <w:szCs w:val="40"/>
    </w:rPr>
  </w:style>
  <w:style w:type="paragraph" w:customStyle="1" w:styleId="Annotation">
    <w:name w:val="Annotation"/>
    <w:basedOn w:val="Normal"/>
    <w:link w:val="AnnotationChar"/>
    <w:qFormat/>
    <w:rsid w:val="007F2C97"/>
    <w:pPr>
      <w:spacing w:before="0"/>
    </w:pPr>
    <w:rPr>
      <w:color w:val="616365" w:themeColor="text2"/>
      <w:sz w:val="18"/>
    </w:rPr>
  </w:style>
  <w:style w:type="character" w:customStyle="1" w:styleId="AnnotationChar">
    <w:name w:val="Annotation Char"/>
    <w:basedOn w:val="DefaultParagraphFont"/>
    <w:link w:val="Annotation"/>
    <w:rsid w:val="007F2C97"/>
    <w:rPr>
      <w:rFonts w:ascii="Arial" w:hAnsi="Arial"/>
      <w:color w:val="616365" w:themeColor="text2"/>
      <w:sz w:val="18"/>
      <w:szCs w:val="40"/>
    </w:rPr>
  </w:style>
  <w:style w:type="table" w:styleId="TableGrid">
    <w:name w:val="Table Grid"/>
    <w:basedOn w:val="TableNormal"/>
    <w:uiPriority w:val="39"/>
    <w:rsid w:val="00B01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4D92"/>
    <w:pPr>
      <w:spacing w:before="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4D92"/>
    <w:rPr>
      <w:rFonts w:ascii="Lucida Grande" w:hAnsi="Lucida Grande" w:cs="Lucida Grande"/>
      <w:sz w:val="18"/>
      <w:szCs w:val="18"/>
    </w:rPr>
  </w:style>
  <w:style w:type="character" w:styleId="PageNumber">
    <w:name w:val="page number"/>
    <w:basedOn w:val="DefaultParagraphFont"/>
    <w:uiPriority w:val="99"/>
    <w:semiHidden/>
    <w:unhideWhenUsed/>
    <w:rsid w:val="00C1027E"/>
  </w:style>
  <w:style w:type="character" w:styleId="Hyperlink">
    <w:name w:val="Hyperlink"/>
    <w:basedOn w:val="DefaultParagraphFont"/>
    <w:uiPriority w:val="99"/>
    <w:unhideWhenUsed/>
    <w:rsid w:val="00B8281D"/>
    <w:rPr>
      <w:color w:val="616365" w:themeColor="hyperlink"/>
      <w:u w:val="single"/>
    </w:rPr>
  </w:style>
  <w:style w:type="paragraph" w:customStyle="1" w:styleId="p1">
    <w:name w:val="p1"/>
    <w:basedOn w:val="Normal"/>
    <w:rsid w:val="00951013"/>
    <w:pPr>
      <w:spacing w:before="0"/>
    </w:pPr>
    <w:rPr>
      <w:rFonts w:ascii="Arial" w:hAnsi="Arial" w:cs="Arial"/>
      <w:color w:val="616365"/>
      <w:sz w:val="12"/>
      <w:szCs w:val="12"/>
    </w:rPr>
  </w:style>
  <w:style w:type="character" w:customStyle="1" w:styleId="s1">
    <w:name w:val="s1"/>
    <w:basedOn w:val="DefaultParagraphFont"/>
    <w:rsid w:val="00951013"/>
  </w:style>
  <w:style w:type="character" w:styleId="UnresolvedMention">
    <w:name w:val="Unresolved Mention"/>
    <w:basedOn w:val="DefaultParagraphFont"/>
    <w:uiPriority w:val="99"/>
    <w:rsid w:val="008E5F02"/>
    <w:rPr>
      <w:color w:val="605E5C"/>
      <w:shd w:val="clear" w:color="auto" w:fill="E1DFDD"/>
    </w:rPr>
  </w:style>
  <w:style w:type="character" w:styleId="CommentReference">
    <w:name w:val="annotation reference"/>
    <w:basedOn w:val="DefaultParagraphFont"/>
    <w:uiPriority w:val="99"/>
    <w:semiHidden/>
    <w:unhideWhenUsed/>
    <w:rsid w:val="008C3A17"/>
    <w:rPr>
      <w:sz w:val="16"/>
      <w:szCs w:val="16"/>
    </w:rPr>
  </w:style>
  <w:style w:type="paragraph" w:styleId="CommentText">
    <w:name w:val="annotation text"/>
    <w:basedOn w:val="Normal"/>
    <w:link w:val="CommentTextChar"/>
    <w:uiPriority w:val="99"/>
    <w:unhideWhenUsed/>
    <w:rsid w:val="008C3A17"/>
    <w:rPr>
      <w:szCs w:val="20"/>
    </w:rPr>
  </w:style>
  <w:style w:type="character" w:customStyle="1" w:styleId="CommentTextChar">
    <w:name w:val="Comment Text Char"/>
    <w:basedOn w:val="DefaultParagraphFont"/>
    <w:link w:val="CommentText"/>
    <w:uiPriority w:val="99"/>
    <w:rsid w:val="008C3A17"/>
    <w:rPr>
      <w:szCs w:val="20"/>
    </w:rPr>
  </w:style>
  <w:style w:type="paragraph" w:styleId="CommentSubject">
    <w:name w:val="annotation subject"/>
    <w:basedOn w:val="CommentText"/>
    <w:next w:val="CommentText"/>
    <w:link w:val="CommentSubjectChar"/>
    <w:uiPriority w:val="99"/>
    <w:semiHidden/>
    <w:unhideWhenUsed/>
    <w:rsid w:val="008C3A17"/>
    <w:rPr>
      <w:b/>
      <w:bCs/>
    </w:rPr>
  </w:style>
  <w:style w:type="character" w:customStyle="1" w:styleId="CommentSubjectChar">
    <w:name w:val="Comment Subject Char"/>
    <w:basedOn w:val="CommentTextChar"/>
    <w:link w:val="CommentSubject"/>
    <w:uiPriority w:val="99"/>
    <w:semiHidden/>
    <w:rsid w:val="008C3A17"/>
    <w:rPr>
      <w:b/>
      <w:bCs/>
      <w:szCs w:val="20"/>
    </w:rPr>
  </w:style>
  <w:style w:type="paragraph" w:styleId="Revision">
    <w:name w:val="Revision"/>
    <w:hidden/>
    <w:uiPriority w:val="99"/>
    <w:semiHidden/>
    <w:rsid w:val="00C133F1"/>
  </w:style>
  <w:style w:type="paragraph" w:styleId="HTMLPreformatted">
    <w:name w:val="HTML Preformatted"/>
    <w:basedOn w:val="Normal"/>
    <w:link w:val="HTMLPreformattedChar"/>
    <w:uiPriority w:val="99"/>
    <w:unhideWhenUsed/>
    <w:rsid w:val="00946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9467A5"/>
    <w:rPr>
      <w:rFonts w:ascii="Courier New" w:eastAsia="Times New Roman" w:hAnsi="Courier New" w:cs="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676">
      <w:bodyDiv w:val="1"/>
      <w:marLeft w:val="0"/>
      <w:marRight w:val="0"/>
      <w:marTop w:val="0"/>
      <w:marBottom w:val="0"/>
      <w:divBdr>
        <w:top w:val="none" w:sz="0" w:space="0" w:color="auto"/>
        <w:left w:val="none" w:sz="0" w:space="0" w:color="auto"/>
        <w:bottom w:val="none" w:sz="0" w:space="0" w:color="auto"/>
        <w:right w:val="none" w:sz="0" w:space="0" w:color="auto"/>
      </w:divBdr>
    </w:div>
    <w:div w:id="292489740">
      <w:bodyDiv w:val="1"/>
      <w:marLeft w:val="0"/>
      <w:marRight w:val="0"/>
      <w:marTop w:val="0"/>
      <w:marBottom w:val="0"/>
      <w:divBdr>
        <w:top w:val="none" w:sz="0" w:space="0" w:color="auto"/>
        <w:left w:val="none" w:sz="0" w:space="0" w:color="auto"/>
        <w:bottom w:val="none" w:sz="0" w:space="0" w:color="auto"/>
        <w:right w:val="none" w:sz="0" w:space="0" w:color="auto"/>
      </w:divBdr>
    </w:div>
    <w:div w:id="535393412">
      <w:bodyDiv w:val="1"/>
      <w:marLeft w:val="0"/>
      <w:marRight w:val="0"/>
      <w:marTop w:val="0"/>
      <w:marBottom w:val="0"/>
      <w:divBdr>
        <w:top w:val="none" w:sz="0" w:space="0" w:color="auto"/>
        <w:left w:val="none" w:sz="0" w:space="0" w:color="auto"/>
        <w:bottom w:val="none" w:sz="0" w:space="0" w:color="auto"/>
        <w:right w:val="none" w:sz="0" w:space="0" w:color="auto"/>
      </w:divBdr>
    </w:div>
    <w:div w:id="719406691">
      <w:bodyDiv w:val="1"/>
      <w:marLeft w:val="0"/>
      <w:marRight w:val="0"/>
      <w:marTop w:val="0"/>
      <w:marBottom w:val="0"/>
      <w:divBdr>
        <w:top w:val="none" w:sz="0" w:space="0" w:color="auto"/>
        <w:left w:val="none" w:sz="0" w:space="0" w:color="auto"/>
        <w:bottom w:val="none" w:sz="0" w:space="0" w:color="auto"/>
        <w:right w:val="none" w:sz="0" w:space="0" w:color="auto"/>
      </w:divBdr>
      <w:divsChild>
        <w:div w:id="1446196477">
          <w:marLeft w:val="0"/>
          <w:marRight w:val="0"/>
          <w:marTop w:val="0"/>
          <w:marBottom w:val="0"/>
          <w:divBdr>
            <w:top w:val="none" w:sz="0" w:space="0" w:color="auto"/>
            <w:left w:val="none" w:sz="0" w:space="0" w:color="auto"/>
            <w:bottom w:val="none" w:sz="0" w:space="0" w:color="auto"/>
            <w:right w:val="none" w:sz="0" w:space="0" w:color="auto"/>
          </w:divBdr>
          <w:divsChild>
            <w:div w:id="1073045449">
              <w:marLeft w:val="0"/>
              <w:marRight w:val="0"/>
              <w:marTop w:val="0"/>
              <w:marBottom w:val="0"/>
              <w:divBdr>
                <w:top w:val="none" w:sz="0" w:space="0" w:color="auto"/>
                <w:left w:val="none" w:sz="0" w:space="0" w:color="auto"/>
                <w:bottom w:val="none" w:sz="0" w:space="0" w:color="auto"/>
                <w:right w:val="none" w:sz="0" w:space="0" w:color="auto"/>
              </w:divBdr>
              <w:divsChild>
                <w:div w:id="1939673918">
                  <w:marLeft w:val="0"/>
                  <w:marRight w:val="0"/>
                  <w:marTop w:val="0"/>
                  <w:marBottom w:val="0"/>
                  <w:divBdr>
                    <w:top w:val="none" w:sz="0" w:space="0" w:color="auto"/>
                    <w:left w:val="none" w:sz="0" w:space="0" w:color="auto"/>
                    <w:bottom w:val="none" w:sz="0" w:space="0" w:color="auto"/>
                    <w:right w:val="none" w:sz="0" w:space="0" w:color="auto"/>
                  </w:divBdr>
                  <w:divsChild>
                    <w:div w:id="8199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42762">
          <w:marLeft w:val="0"/>
          <w:marRight w:val="0"/>
          <w:marTop w:val="0"/>
          <w:marBottom w:val="0"/>
          <w:divBdr>
            <w:top w:val="none" w:sz="0" w:space="0" w:color="auto"/>
            <w:left w:val="none" w:sz="0" w:space="0" w:color="auto"/>
            <w:bottom w:val="none" w:sz="0" w:space="0" w:color="auto"/>
            <w:right w:val="none" w:sz="0" w:space="0" w:color="auto"/>
          </w:divBdr>
          <w:divsChild>
            <w:div w:id="327367653">
              <w:marLeft w:val="0"/>
              <w:marRight w:val="0"/>
              <w:marTop w:val="0"/>
              <w:marBottom w:val="0"/>
              <w:divBdr>
                <w:top w:val="none" w:sz="0" w:space="0" w:color="auto"/>
                <w:left w:val="none" w:sz="0" w:space="0" w:color="auto"/>
                <w:bottom w:val="none" w:sz="0" w:space="0" w:color="auto"/>
                <w:right w:val="none" w:sz="0" w:space="0" w:color="auto"/>
              </w:divBdr>
              <w:divsChild>
                <w:div w:id="1257596178">
                  <w:marLeft w:val="0"/>
                  <w:marRight w:val="0"/>
                  <w:marTop w:val="0"/>
                  <w:marBottom w:val="0"/>
                  <w:divBdr>
                    <w:top w:val="none" w:sz="0" w:space="0" w:color="auto"/>
                    <w:left w:val="none" w:sz="0" w:space="0" w:color="auto"/>
                    <w:bottom w:val="none" w:sz="0" w:space="0" w:color="auto"/>
                    <w:right w:val="none" w:sz="0" w:space="0" w:color="auto"/>
                  </w:divBdr>
                  <w:divsChild>
                    <w:div w:id="146619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186622">
      <w:bodyDiv w:val="1"/>
      <w:marLeft w:val="0"/>
      <w:marRight w:val="0"/>
      <w:marTop w:val="0"/>
      <w:marBottom w:val="0"/>
      <w:divBdr>
        <w:top w:val="none" w:sz="0" w:space="0" w:color="auto"/>
        <w:left w:val="none" w:sz="0" w:space="0" w:color="auto"/>
        <w:bottom w:val="none" w:sz="0" w:space="0" w:color="auto"/>
        <w:right w:val="none" w:sz="0" w:space="0" w:color="auto"/>
      </w:divBdr>
    </w:div>
    <w:div w:id="1087340487">
      <w:bodyDiv w:val="1"/>
      <w:marLeft w:val="0"/>
      <w:marRight w:val="0"/>
      <w:marTop w:val="0"/>
      <w:marBottom w:val="0"/>
      <w:divBdr>
        <w:top w:val="none" w:sz="0" w:space="0" w:color="auto"/>
        <w:left w:val="none" w:sz="0" w:space="0" w:color="auto"/>
        <w:bottom w:val="none" w:sz="0" w:space="0" w:color="auto"/>
        <w:right w:val="none" w:sz="0" w:space="0" w:color="auto"/>
      </w:divBdr>
    </w:div>
    <w:div w:id="1328244066">
      <w:bodyDiv w:val="1"/>
      <w:marLeft w:val="0"/>
      <w:marRight w:val="0"/>
      <w:marTop w:val="0"/>
      <w:marBottom w:val="0"/>
      <w:divBdr>
        <w:top w:val="none" w:sz="0" w:space="0" w:color="auto"/>
        <w:left w:val="none" w:sz="0" w:space="0" w:color="auto"/>
        <w:bottom w:val="none" w:sz="0" w:space="0" w:color="auto"/>
        <w:right w:val="none" w:sz="0" w:space="0" w:color="auto"/>
      </w:divBdr>
    </w:div>
    <w:div w:id="1442725308">
      <w:bodyDiv w:val="1"/>
      <w:marLeft w:val="0"/>
      <w:marRight w:val="0"/>
      <w:marTop w:val="0"/>
      <w:marBottom w:val="0"/>
      <w:divBdr>
        <w:top w:val="none" w:sz="0" w:space="0" w:color="auto"/>
        <w:left w:val="none" w:sz="0" w:space="0" w:color="auto"/>
        <w:bottom w:val="none" w:sz="0" w:space="0" w:color="auto"/>
        <w:right w:val="none" w:sz="0" w:space="0" w:color="auto"/>
      </w:divBdr>
    </w:div>
    <w:div w:id="1524781106">
      <w:bodyDiv w:val="1"/>
      <w:marLeft w:val="0"/>
      <w:marRight w:val="0"/>
      <w:marTop w:val="0"/>
      <w:marBottom w:val="0"/>
      <w:divBdr>
        <w:top w:val="none" w:sz="0" w:space="0" w:color="auto"/>
        <w:left w:val="none" w:sz="0" w:space="0" w:color="auto"/>
        <w:bottom w:val="none" w:sz="0" w:space="0" w:color="auto"/>
        <w:right w:val="none" w:sz="0" w:space="0" w:color="auto"/>
      </w:divBdr>
    </w:div>
    <w:div w:id="1695227264">
      <w:bodyDiv w:val="1"/>
      <w:marLeft w:val="0"/>
      <w:marRight w:val="0"/>
      <w:marTop w:val="0"/>
      <w:marBottom w:val="0"/>
      <w:divBdr>
        <w:top w:val="none" w:sz="0" w:space="0" w:color="auto"/>
        <w:left w:val="none" w:sz="0" w:space="0" w:color="auto"/>
        <w:bottom w:val="none" w:sz="0" w:space="0" w:color="auto"/>
        <w:right w:val="none" w:sz="0" w:space="0" w:color="auto"/>
      </w:divBdr>
    </w:div>
    <w:div w:id="1879975580">
      <w:bodyDiv w:val="1"/>
      <w:marLeft w:val="0"/>
      <w:marRight w:val="0"/>
      <w:marTop w:val="0"/>
      <w:marBottom w:val="0"/>
      <w:divBdr>
        <w:top w:val="none" w:sz="0" w:space="0" w:color="auto"/>
        <w:left w:val="none" w:sz="0" w:space="0" w:color="auto"/>
        <w:bottom w:val="none" w:sz="0" w:space="0" w:color="auto"/>
        <w:right w:val="none" w:sz="0" w:space="0" w:color="auto"/>
      </w:divBdr>
    </w:div>
    <w:div w:id="2120877243">
      <w:bodyDiv w:val="1"/>
      <w:marLeft w:val="0"/>
      <w:marRight w:val="0"/>
      <w:marTop w:val="0"/>
      <w:marBottom w:val="0"/>
      <w:divBdr>
        <w:top w:val="none" w:sz="0" w:space="0" w:color="auto"/>
        <w:left w:val="none" w:sz="0" w:space="0" w:color="auto"/>
        <w:bottom w:val="none" w:sz="0" w:space="0" w:color="auto"/>
        <w:right w:val="none" w:sz="0" w:space="0" w:color="auto"/>
      </w:divBdr>
    </w:div>
    <w:div w:id="2132898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virtu.com/"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analytics@virtu.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heme">
  <a:themeElements>
    <a:clrScheme name="Custom 6">
      <a:dk1>
        <a:srgbClr val="000000"/>
      </a:dk1>
      <a:lt1>
        <a:srgbClr val="FFFFFF"/>
      </a:lt1>
      <a:dk2>
        <a:srgbClr val="616365"/>
      </a:dk2>
      <a:lt2>
        <a:srgbClr val="A0A1A3"/>
      </a:lt2>
      <a:accent1>
        <a:srgbClr val="00CC99"/>
      </a:accent1>
      <a:accent2>
        <a:srgbClr val="002454"/>
      </a:accent2>
      <a:accent3>
        <a:srgbClr val="009FDA"/>
      </a:accent3>
      <a:accent4>
        <a:srgbClr val="E51393"/>
      </a:accent4>
      <a:accent5>
        <a:srgbClr val="FF7436"/>
      </a:accent5>
      <a:accent6>
        <a:srgbClr val="EBC100"/>
      </a:accent6>
      <a:hlink>
        <a:srgbClr val="616365"/>
      </a:hlink>
      <a:folHlink>
        <a:srgbClr val="919191"/>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2700">
          <a:solidFill>
            <a:schemeClr val="tx2"/>
          </a:solidFill>
        </a:ln>
      </a:spPr>
      <a:bodyPr rtlCol="0" anchor="ctr"/>
      <a:lstStyle>
        <a:defPPr algn="ctr">
          <a:defRPr sz="120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12700" cap="rnd">
          <a:round/>
        </a:ln>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defPPr marL="171450" marR="0" indent="-171450" algn="l" defTabSz="914400" rtl="0" eaLnBrk="1" fontAlgn="auto" latinLnBrk="0" hangingPunct="1">
          <a:lnSpc>
            <a:spcPct val="100000"/>
          </a:lnSpc>
          <a:spcBef>
            <a:spcPts val="600"/>
          </a:spcBef>
          <a:spcAft>
            <a:spcPts val="0"/>
          </a:spcAft>
          <a:buClrTx/>
          <a:buSzTx/>
          <a:buFont typeface="Arial" charset="0"/>
          <a:buChar char="•"/>
          <a:tabLst/>
          <a:defRPr sz="1100" b="0" i="0" dirty="0" smtClean="0">
            <a:solidFill>
              <a:schemeClr val="tx2"/>
            </a:solidFill>
            <a:latin typeface="Arial" charset="0"/>
            <a:ea typeface="Arial" charset="0"/>
            <a:cs typeface="Arial" charset="0"/>
          </a:defRPr>
        </a:defPPr>
      </a:lstStyle>
    </a:txDef>
  </a:objectDefaults>
  <a:extraClrSchemeLst/>
  <a:extLst>
    <a:ext uri="{05A4C25C-085E-4340-85A3-A5531E510DB2}">
      <thm15:themeFamily xmlns:thm15="http://schemas.microsoft.com/office/thememl/2012/main" name="ITG" id="{C609B86C-CEB5-E34A-8714-F601075BE3CD}" vid="{B5242EFA-D326-B543-8A62-52B1BFBFF00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ord Templates" ma:contentTypeID="0x010100BF3F4D2BA6A6F8419C7F911C574F0FF5007ACE5DFC83EA0645B798AF028CAA5400" ma:contentTypeVersion="7" ma:contentTypeDescription="" ma:contentTypeScope="" ma:versionID="9f759908aeb6d7a3499a9e9ef37fa4ad">
  <xsd:schema xmlns:xsd="http://www.w3.org/2001/XMLSchema" xmlns:xs="http://www.w3.org/2001/XMLSchema" xmlns:p="http://schemas.microsoft.com/office/2006/metadata/properties" xmlns:ns3="f8b42679-9aef-465d-b26c-188b568d051d" targetNamespace="http://schemas.microsoft.com/office/2006/metadata/properties" ma:root="true" ma:fieldsID="a493821aff991300d018dcdec4bcca8a" ns3:_="">
    <xsd:import namespace="f8b42679-9aef-465d-b26c-188b568d051d"/>
    <xsd:element name="properties">
      <xsd:complexType>
        <xsd:sequence>
          <xsd:element name="documentManagement">
            <xsd:complexType>
              <xsd:all>
                <xsd:element ref="ns3:Word_x0020_Templa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42679-9aef-465d-b26c-188b568d051d" elementFormDefault="qualified">
    <xsd:import namespace="http://schemas.microsoft.com/office/2006/documentManagement/types"/>
    <xsd:import namespace="http://schemas.microsoft.com/office/infopath/2007/PartnerControls"/>
    <xsd:element name="Word_x0020_Templates" ma:index="8" nillable="true" ma:displayName="Word Templates" ma:format="Dropdown" ma:internalName="Word_x0020_Templates">
      <xsd:simpleType>
        <xsd:restriction base="dms:Choice">
          <xsd:enumeration value="Stationary"/>
          <xsd:enumeration value="Standard Word Templat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ord_x0020_Templates xmlns="f8b42679-9aef-465d-b26c-188b568d051d">Standard Word Templates</Word_x0020_Templates>
  </documentManagement>
</p:properties>
</file>

<file path=customXml/itemProps1.xml><?xml version="1.0" encoding="utf-8"?>
<ds:datastoreItem xmlns:ds="http://schemas.openxmlformats.org/officeDocument/2006/customXml" ds:itemID="{AD8F8DEE-0B83-4469-946F-C11B49AC4B16}">
  <ds:schemaRefs>
    <ds:schemaRef ds:uri="http://schemas.openxmlformats.org/officeDocument/2006/bibliography"/>
  </ds:schemaRefs>
</ds:datastoreItem>
</file>

<file path=customXml/itemProps2.xml><?xml version="1.0" encoding="utf-8"?>
<ds:datastoreItem xmlns:ds="http://schemas.openxmlformats.org/officeDocument/2006/customXml" ds:itemID="{376FB9DB-B5AC-463E-A301-10B1EC0DC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42679-9aef-465d-b26c-188b568d0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D4638-C748-490D-88A7-65205A08B478}">
  <ds:schemaRefs>
    <ds:schemaRef ds:uri="http://schemas.microsoft.com/sharepoint/v3/contenttype/forms"/>
  </ds:schemaRefs>
</ds:datastoreItem>
</file>

<file path=customXml/itemProps4.xml><?xml version="1.0" encoding="utf-8"?>
<ds:datastoreItem xmlns:ds="http://schemas.openxmlformats.org/officeDocument/2006/customXml" ds:itemID="{349CC4FF-E786-442B-9583-05E60AB407D2}">
  <ds:schemaRefs>
    <ds:schemaRef ds:uri="http://schemas.microsoft.com/office/2006/metadata/properties"/>
    <ds:schemaRef ds:uri="http://schemas.microsoft.com/office/infopath/2007/PartnerControls"/>
    <ds:schemaRef ds:uri="f8b42679-9aef-465d-b26c-188b568d051d"/>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10</Pages>
  <Words>582</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Virtu's FX Market Structure Monthly; March 2026</vt:lpstr>
    </vt:vector>
  </TitlesOfParts>
  <Manager/>
  <Company/>
  <LinksUpToDate>false</LinksUpToDate>
  <CharactersWithSpaces>3719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Virtu's FX Market Structure Monthly; March 2026</dc:title>
  <dc:subject/>
  <dc:creator>Joseph Emanuelli</dc:creator>
  <cp:keywords>Virtu's FX Market Structure</cp:keywords>
  <dc:description/>
  <cp:lastModifiedBy>Ana Pereira</cp:lastModifiedBy>
  <cp:revision>3</cp:revision>
  <cp:lastPrinted>2023-09-19T20:12:00Z</cp:lastPrinted>
  <dcterms:created xsi:type="dcterms:W3CDTF">2026-10-05T14:27:00Z</dcterms:created>
  <dcterms:modified xsi:type="dcterms:W3CDTF">2026-10-05T16:28:00Z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0x010100BF3F4D2BA6A6F8419C7F911C574F0FF5007ACE5DFC83EA0645B798AF028CAA5400</vt:lpwstr>
  </property>
  <property fmtid="{D5CDD505-2E9C-101B-9397-08002B2CF9AE}" pid="3" name="GrammarlyDocumentId">
    <vt:lpwstr>6ce6997b79e7482aeeb24a2c782bfa9f79081b4e4ba390f27e465dbca22b7cfa</vt:lpwstr>
  </property>
</Properties>
</file>